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E7B" w:rsidRDefault="00941AB3" w:rsidP="00941AB3">
      <w:pPr>
        <w:pStyle w:val="BodyText"/>
        <w:jc w:val="right"/>
        <w:rPr>
          <w:rFonts w:ascii="Arial" w:hAnsi="Arial"/>
          <w:b/>
          <w:sz w:val="32"/>
          <w:szCs w:val="32"/>
        </w:rPr>
      </w:pPr>
      <w:r>
        <w:rPr>
          <w:rFonts w:ascii="Arial" w:hAnsi="Arial"/>
          <w:b/>
          <w:sz w:val="32"/>
          <w:szCs w:val="32"/>
        </w:rPr>
        <w:t>Appendix 'A'</w:t>
      </w:r>
    </w:p>
    <w:p w:rsidR="00D77E7B" w:rsidRDefault="00D77E7B" w:rsidP="00A86746">
      <w:pPr>
        <w:pStyle w:val="BodyText"/>
        <w:rPr>
          <w:rFonts w:ascii="Arial" w:hAnsi="Arial"/>
          <w:b/>
          <w:sz w:val="32"/>
          <w:szCs w:val="32"/>
        </w:rPr>
      </w:pPr>
    </w:p>
    <w:p w:rsidR="00D77E7B" w:rsidRPr="008816D0" w:rsidRDefault="00D77E7B" w:rsidP="00A86746">
      <w:pPr>
        <w:pStyle w:val="BodyText"/>
        <w:rPr>
          <w:rFonts w:ascii="Arial" w:hAnsi="Arial"/>
          <w:b/>
          <w:sz w:val="32"/>
          <w:szCs w:val="32"/>
        </w:rPr>
      </w:pPr>
      <w:smartTag w:uri="urn:schemas-microsoft-com:office:smarttags" w:element="place">
        <w:r w:rsidRPr="008816D0">
          <w:rPr>
            <w:rFonts w:ascii="Arial" w:hAnsi="Arial"/>
            <w:b/>
            <w:sz w:val="32"/>
            <w:szCs w:val="32"/>
          </w:rPr>
          <w:t>Lancashire</w:t>
        </w:r>
      </w:smartTag>
      <w:r w:rsidRPr="008816D0">
        <w:rPr>
          <w:rFonts w:ascii="Arial" w:hAnsi="Arial"/>
          <w:b/>
          <w:sz w:val="32"/>
          <w:szCs w:val="32"/>
        </w:rPr>
        <w:t xml:space="preserve"> County Council</w:t>
      </w:r>
      <w:r>
        <w:rPr>
          <w:rFonts w:ascii="Arial" w:hAnsi="Arial"/>
          <w:b/>
          <w:sz w:val="32"/>
          <w:szCs w:val="32"/>
        </w:rPr>
        <w:t>: Pension Fund</w:t>
      </w:r>
    </w:p>
    <w:p w:rsidR="00D77E7B" w:rsidRPr="008816D0" w:rsidRDefault="00D77E7B" w:rsidP="00A86746">
      <w:pPr>
        <w:pStyle w:val="BodyText"/>
        <w:rPr>
          <w:rFonts w:ascii="Arial" w:hAnsi="Arial"/>
          <w:b/>
          <w:sz w:val="32"/>
          <w:szCs w:val="32"/>
        </w:rPr>
      </w:pPr>
      <w:r w:rsidRPr="008816D0">
        <w:rPr>
          <w:rFonts w:ascii="Arial" w:hAnsi="Arial"/>
          <w:b/>
          <w:sz w:val="32"/>
          <w:szCs w:val="32"/>
        </w:rPr>
        <w:t>Internal Audit Service</w:t>
      </w:r>
    </w:p>
    <w:p w:rsidR="00D77E7B" w:rsidRDefault="00D77E7B" w:rsidP="00A86746">
      <w:pPr>
        <w:pStyle w:val="BodyText"/>
        <w:rPr>
          <w:rFonts w:ascii="Arial" w:hAnsi="Arial"/>
          <w:b/>
          <w:sz w:val="32"/>
          <w:szCs w:val="32"/>
        </w:rPr>
      </w:pPr>
      <w:r w:rsidRPr="008816D0">
        <w:rPr>
          <w:rFonts w:ascii="Arial" w:hAnsi="Arial"/>
          <w:b/>
          <w:sz w:val="32"/>
          <w:szCs w:val="32"/>
        </w:rPr>
        <w:t>Annual report</w:t>
      </w:r>
      <w:r>
        <w:rPr>
          <w:rFonts w:ascii="Arial" w:hAnsi="Arial"/>
          <w:b/>
          <w:sz w:val="32"/>
          <w:szCs w:val="32"/>
        </w:rPr>
        <w:t xml:space="preserve"> for the year ended 31 March 201</w:t>
      </w:r>
      <w:r w:rsidR="00C8186A">
        <w:rPr>
          <w:rFonts w:ascii="Arial" w:hAnsi="Arial"/>
          <w:b/>
          <w:sz w:val="32"/>
          <w:szCs w:val="32"/>
        </w:rPr>
        <w:t>4</w:t>
      </w:r>
      <w:r w:rsidR="00A5548F">
        <w:rPr>
          <w:rFonts w:ascii="Arial" w:hAnsi="Arial"/>
          <w:b/>
          <w:sz w:val="32"/>
          <w:szCs w:val="32"/>
        </w:rPr>
        <w:t>,</w:t>
      </w:r>
    </w:p>
    <w:p w:rsidR="00A5548F" w:rsidRDefault="00A5548F" w:rsidP="00A86746">
      <w:pPr>
        <w:pStyle w:val="BodyText"/>
        <w:rPr>
          <w:rFonts w:ascii="Arial" w:hAnsi="Arial"/>
          <w:b/>
          <w:sz w:val="32"/>
          <w:szCs w:val="32"/>
        </w:rPr>
      </w:pPr>
      <w:r>
        <w:rPr>
          <w:rFonts w:ascii="Arial" w:hAnsi="Arial"/>
          <w:b/>
          <w:sz w:val="32"/>
          <w:szCs w:val="32"/>
        </w:rPr>
        <w:t>including the proposed internal audit plan 201</w:t>
      </w:r>
      <w:r w:rsidR="00C8186A">
        <w:rPr>
          <w:rFonts w:ascii="Arial" w:hAnsi="Arial"/>
          <w:b/>
          <w:sz w:val="32"/>
          <w:szCs w:val="32"/>
        </w:rPr>
        <w:t>4</w:t>
      </w:r>
      <w:r>
        <w:rPr>
          <w:rFonts w:ascii="Arial" w:hAnsi="Arial"/>
          <w:b/>
          <w:sz w:val="32"/>
          <w:szCs w:val="32"/>
        </w:rPr>
        <w:t>/1</w:t>
      </w:r>
      <w:r w:rsidR="00C8186A">
        <w:rPr>
          <w:rFonts w:ascii="Arial" w:hAnsi="Arial"/>
          <w:b/>
          <w:sz w:val="32"/>
          <w:szCs w:val="32"/>
        </w:rPr>
        <w:t>5</w:t>
      </w:r>
    </w:p>
    <w:p w:rsidR="00D77E7B" w:rsidRDefault="00D77E7B" w:rsidP="00A86746">
      <w:pPr>
        <w:pStyle w:val="BodyText"/>
        <w:rPr>
          <w:rFonts w:ascii="Arial" w:hAnsi="Arial"/>
          <w:b/>
          <w:sz w:val="32"/>
          <w:szCs w:val="32"/>
        </w:rPr>
      </w:pPr>
    </w:p>
    <w:p w:rsidR="00D77E7B" w:rsidRDefault="00D77E7B" w:rsidP="00A86746">
      <w:pPr>
        <w:pStyle w:val="BodyText"/>
        <w:rPr>
          <w:rFonts w:ascii="Arial" w:hAnsi="Arial"/>
          <w:b/>
          <w:sz w:val="32"/>
          <w:szCs w:val="32"/>
        </w:rPr>
      </w:pPr>
    </w:p>
    <w:p w:rsidR="00D77E7B" w:rsidRDefault="00D77E7B" w:rsidP="00A86746">
      <w:pPr>
        <w:pStyle w:val="BodyText"/>
        <w:rPr>
          <w:rFonts w:ascii="Arial" w:hAnsi="Arial"/>
          <w:b/>
          <w:sz w:val="32"/>
          <w:szCs w:val="32"/>
        </w:rPr>
      </w:pPr>
    </w:p>
    <w:p w:rsidR="00D77E7B" w:rsidRDefault="00D77E7B" w:rsidP="00A86746">
      <w:pPr>
        <w:pStyle w:val="BodyText"/>
        <w:rPr>
          <w:rFonts w:ascii="Arial" w:hAnsi="Arial"/>
          <w:b/>
          <w:sz w:val="32"/>
          <w:szCs w:val="32"/>
        </w:rPr>
      </w:pPr>
    </w:p>
    <w:p w:rsidR="00D77E7B" w:rsidRDefault="00D77E7B" w:rsidP="00A86746">
      <w:pPr>
        <w:pStyle w:val="BodyText"/>
        <w:rPr>
          <w:rFonts w:ascii="Arial" w:hAnsi="Arial"/>
          <w:b/>
          <w:sz w:val="32"/>
          <w:szCs w:val="32"/>
        </w:rPr>
      </w:pPr>
    </w:p>
    <w:p w:rsidR="00D77E7B" w:rsidRDefault="00D77E7B" w:rsidP="00A86746">
      <w:pPr>
        <w:pStyle w:val="BodyText"/>
        <w:rPr>
          <w:rFonts w:ascii="Arial" w:hAnsi="Arial"/>
          <w:b/>
          <w:sz w:val="32"/>
          <w:szCs w:val="32"/>
        </w:rPr>
      </w:pPr>
    </w:p>
    <w:p w:rsidR="00D77E7B" w:rsidRDefault="00D77E7B" w:rsidP="00A86746">
      <w:pPr>
        <w:pStyle w:val="BodyText"/>
        <w:rPr>
          <w:rFonts w:ascii="Arial" w:hAnsi="Arial"/>
          <w:b/>
          <w:sz w:val="32"/>
          <w:szCs w:val="32"/>
        </w:rPr>
      </w:pPr>
    </w:p>
    <w:p w:rsidR="00D77E7B" w:rsidRDefault="00D77E7B" w:rsidP="006A62CA">
      <w:pPr>
        <w:pStyle w:val="BodyText"/>
        <w:jc w:val="right"/>
        <w:rPr>
          <w:rFonts w:ascii="Arial" w:hAnsi="Arial"/>
          <w:b/>
          <w:sz w:val="32"/>
          <w:szCs w:val="32"/>
        </w:rPr>
      </w:pPr>
    </w:p>
    <w:p w:rsidR="00D77E7B" w:rsidRDefault="00FC348D" w:rsidP="006A62CA">
      <w:pPr>
        <w:pStyle w:val="BodyText"/>
        <w:ind w:left="4320" w:firstLine="720"/>
        <w:rPr>
          <w:rFonts w:ascii="Arial" w:hAnsi="Arial"/>
          <w:b/>
          <w:sz w:val="32"/>
          <w:szCs w:val="32"/>
        </w:rPr>
      </w:pPr>
      <w:r>
        <w:rPr>
          <w:b/>
          <w:noProof/>
          <w:position w:val="100"/>
          <w:sz w:val="28"/>
          <w:szCs w:val="28"/>
          <w:lang w:eastAsia="en-GB"/>
        </w:rPr>
        <w:drawing>
          <wp:inline distT="0" distB="0" distL="0" distR="0">
            <wp:extent cx="2333625" cy="1162050"/>
            <wp:effectExtent l="19050" t="0" r="9525" b="0"/>
            <wp:docPr id="1" name="Picture 1" descr="LCC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 logo for A4"/>
                    <pic:cNvPicPr>
                      <a:picLocks noChangeAspect="1" noChangeArrowheads="1"/>
                    </pic:cNvPicPr>
                  </pic:nvPicPr>
                  <pic:blipFill>
                    <a:blip r:embed="rId7"/>
                    <a:srcRect/>
                    <a:stretch>
                      <a:fillRect/>
                    </a:stretch>
                  </pic:blipFill>
                  <pic:spPr bwMode="auto">
                    <a:xfrm>
                      <a:off x="0" y="0"/>
                      <a:ext cx="2333625" cy="1162050"/>
                    </a:xfrm>
                    <a:prstGeom prst="rect">
                      <a:avLst/>
                    </a:prstGeom>
                    <a:noFill/>
                    <a:ln w="9525">
                      <a:noFill/>
                      <a:miter lim="800000"/>
                      <a:headEnd/>
                      <a:tailEnd/>
                    </a:ln>
                  </pic:spPr>
                </pic:pic>
              </a:graphicData>
            </a:graphic>
          </wp:inline>
        </w:drawing>
      </w:r>
    </w:p>
    <w:p w:rsidR="00D77E7B" w:rsidRDefault="00D77E7B" w:rsidP="00A86746">
      <w:pPr>
        <w:pStyle w:val="BodyText"/>
        <w:rPr>
          <w:rFonts w:ascii="Arial" w:hAnsi="Arial"/>
          <w:b/>
          <w:sz w:val="32"/>
          <w:szCs w:val="32"/>
        </w:rPr>
      </w:pPr>
    </w:p>
    <w:p w:rsidR="00D77E7B" w:rsidRPr="008816D0" w:rsidRDefault="00D77E7B" w:rsidP="00A86746">
      <w:pPr>
        <w:pStyle w:val="BodyText"/>
        <w:rPr>
          <w:rFonts w:ascii="Arial" w:hAnsi="Arial"/>
          <w:b/>
          <w:sz w:val="32"/>
          <w:szCs w:val="32"/>
        </w:rPr>
        <w:sectPr w:rsidR="00D77E7B" w:rsidRPr="008816D0" w:rsidSect="00C57A17">
          <w:footerReference w:type="even" r:id="rId8"/>
          <w:footerReference w:type="default" r:id="rId9"/>
          <w:footerReference w:type="first" r:id="rId10"/>
          <w:pgSz w:w="12240" w:h="15840"/>
          <w:pgMar w:top="1440" w:right="1800" w:bottom="1440" w:left="1800" w:header="708" w:footer="708" w:gutter="0"/>
          <w:cols w:space="708"/>
          <w:titlePg/>
          <w:docGrid w:linePitch="360"/>
        </w:sectPr>
      </w:pPr>
      <w:r>
        <w:rPr>
          <w:rFonts w:ascii="Arial" w:hAnsi="Arial"/>
          <w:b/>
          <w:sz w:val="32"/>
          <w:szCs w:val="32"/>
        </w:rPr>
        <w:tab/>
      </w:r>
      <w:r>
        <w:rPr>
          <w:rFonts w:ascii="Arial" w:hAnsi="Arial"/>
          <w:b/>
          <w:sz w:val="32"/>
          <w:szCs w:val="32"/>
        </w:rPr>
        <w:tab/>
      </w:r>
      <w:r>
        <w:rPr>
          <w:rFonts w:ascii="Arial" w:hAnsi="Arial"/>
          <w:b/>
          <w:sz w:val="32"/>
          <w:szCs w:val="32"/>
        </w:rPr>
        <w:tab/>
      </w:r>
      <w:r>
        <w:rPr>
          <w:rFonts w:ascii="Arial" w:hAnsi="Arial"/>
          <w:b/>
          <w:sz w:val="32"/>
          <w:szCs w:val="32"/>
        </w:rPr>
        <w:tab/>
      </w:r>
      <w:r>
        <w:rPr>
          <w:rFonts w:ascii="Arial" w:hAnsi="Arial"/>
          <w:b/>
          <w:sz w:val="32"/>
          <w:szCs w:val="32"/>
        </w:rPr>
        <w:tab/>
      </w:r>
      <w:r>
        <w:rPr>
          <w:rFonts w:ascii="Arial" w:hAnsi="Arial"/>
          <w:b/>
          <w:sz w:val="32"/>
          <w:szCs w:val="32"/>
        </w:rPr>
        <w:tab/>
      </w:r>
      <w:r>
        <w:rPr>
          <w:rFonts w:ascii="Arial" w:hAnsi="Arial"/>
          <w:b/>
          <w:sz w:val="32"/>
          <w:szCs w:val="32"/>
        </w:rPr>
        <w:tab/>
      </w:r>
      <w:r>
        <w:rPr>
          <w:rFonts w:ascii="Arial" w:hAnsi="Arial"/>
          <w:b/>
          <w:sz w:val="32"/>
          <w:szCs w:val="32"/>
        </w:rPr>
        <w:tab/>
      </w:r>
    </w:p>
    <w:p w:rsidR="00D77E7B" w:rsidRDefault="00D77E7B" w:rsidP="00E14CA2">
      <w:pPr>
        <w:pStyle w:val="BodyText"/>
        <w:rPr>
          <w:rFonts w:ascii="Arial" w:hAnsi="Arial"/>
          <w:b/>
          <w:sz w:val="24"/>
        </w:rPr>
      </w:pPr>
    </w:p>
    <w:p w:rsidR="00D77E7B" w:rsidRPr="00344BD8" w:rsidRDefault="00D77E7B" w:rsidP="00E14CA2">
      <w:pPr>
        <w:pBdr>
          <w:top w:val="single" w:sz="4" w:space="1" w:color="auto"/>
          <w:left w:val="single" w:sz="4" w:space="4" w:color="auto"/>
          <w:bottom w:val="single" w:sz="4" w:space="1" w:color="auto"/>
          <w:right w:val="single" w:sz="4" w:space="4" w:color="auto"/>
        </w:pBdr>
        <w:jc w:val="center"/>
        <w:rPr>
          <w:rFonts w:ascii="Arial" w:hAnsi="Arial" w:cs="Arial"/>
          <w:i/>
          <w:sz w:val="24"/>
          <w:szCs w:val="24"/>
        </w:rPr>
      </w:pPr>
      <w:r w:rsidRPr="00344BD8">
        <w:rPr>
          <w:rFonts w:ascii="Arial" w:hAnsi="Arial" w:cs="Arial"/>
          <w:i/>
          <w:sz w:val="24"/>
          <w:szCs w:val="24"/>
        </w:rPr>
        <w:t>Contents</w:t>
      </w:r>
    </w:p>
    <w:p w:rsidR="00D77E7B" w:rsidRPr="00344BD8" w:rsidRDefault="00D77E7B" w:rsidP="00E14CA2">
      <w:pPr>
        <w:pBdr>
          <w:top w:val="single" w:sz="4" w:space="1" w:color="auto"/>
          <w:left w:val="single" w:sz="4" w:space="4" w:color="auto"/>
          <w:bottom w:val="single" w:sz="4" w:space="1" w:color="auto"/>
          <w:right w:val="single" w:sz="4" w:space="4" w:color="auto"/>
        </w:pBdr>
        <w:rPr>
          <w:rFonts w:ascii="Arial" w:hAnsi="Arial" w:cs="Arial"/>
          <w:sz w:val="24"/>
          <w:szCs w:val="24"/>
        </w:rPr>
      </w:pPr>
    </w:p>
    <w:p w:rsidR="00D77E7B" w:rsidRPr="00344BD8" w:rsidRDefault="00D77E7B" w:rsidP="00E14CA2">
      <w:pPr>
        <w:pBdr>
          <w:top w:val="single" w:sz="4" w:space="1" w:color="auto"/>
          <w:left w:val="single" w:sz="4" w:space="4" w:color="auto"/>
          <w:bottom w:val="single" w:sz="4" w:space="1" w:color="auto"/>
          <w:right w:val="single" w:sz="4" w:space="4" w:color="auto"/>
        </w:pBdr>
        <w:rPr>
          <w:rFonts w:ascii="Arial" w:hAnsi="Arial" w:cs="Arial"/>
          <w:sz w:val="24"/>
          <w:szCs w:val="24"/>
        </w:rPr>
      </w:pPr>
    </w:p>
    <w:p w:rsidR="00D77E7B" w:rsidRPr="00554D20" w:rsidRDefault="00D77E7B" w:rsidP="00E14CA2">
      <w:pPr>
        <w:numPr>
          <w:ilvl w:val="0"/>
          <w:numId w:val="14"/>
        </w:numPr>
        <w:pBdr>
          <w:top w:val="single" w:sz="4" w:space="1" w:color="auto"/>
          <w:left w:val="single" w:sz="4" w:space="4" w:color="auto"/>
          <w:bottom w:val="single" w:sz="4" w:space="1" w:color="auto"/>
          <w:right w:val="single" w:sz="4" w:space="4" w:color="auto"/>
        </w:pBdr>
        <w:tabs>
          <w:tab w:val="decimal" w:pos="6840"/>
        </w:tabs>
        <w:spacing w:line="240" w:lineRule="auto"/>
        <w:rPr>
          <w:rFonts w:ascii="Arial" w:hAnsi="Arial" w:cs="Arial"/>
          <w:sz w:val="24"/>
          <w:szCs w:val="24"/>
        </w:rPr>
      </w:pPr>
      <w:r w:rsidRPr="00344BD8">
        <w:rPr>
          <w:rFonts w:ascii="Arial" w:hAnsi="Arial" w:cs="Arial"/>
          <w:sz w:val="24"/>
          <w:szCs w:val="24"/>
        </w:rPr>
        <w:t>Introduction</w:t>
      </w:r>
      <w:r w:rsidR="00AC4688">
        <w:rPr>
          <w:rFonts w:ascii="Arial" w:hAnsi="Arial" w:cs="Arial"/>
          <w:sz w:val="24"/>
          <w:szCs w:val="24"/>
        </w:rPr>
        <w:tab/>
        <w:t>1</w:t>
      </w:r>
      <w:r w:rsidRPr="00344BD8">
        <w:rPr>
          <w:rFonts w:ascii="Arial" w:hAnsi="Arial" w:cs="Arial"/>
          <w:sz w:val="24"/>
          <w:szCs w:val="24"/>
        </w:rPr>
        <w:tab/>
      </w:r>
    </w:p>
    <w:p w:rsidR="00D77E7B" w:rsidRPr="00554D20" w:rsidRDefault="00D77E7B" w:rsidP="00E14CA2">
      <w:pPr>
        <w:pBdr>
          <w:top w:val="single" w:sz="4" w:space="1" w:color="auto"/>
          <w:left w:val="single" w:sz="4" w:space="4" w:color="auto"/>
          <w:bottom w:val="single" w:sz="4" w:space="1" w:color="auto"/>
          <w:right w:val="single" w:sz="4" w:space="4" w:color="auto"/>
        </w:pBdr>
        <w:tabs>
          <w:tab w:val="decimal" w:pos="6840"/>
        </w:tabs>
        <w:rPr>
          <w:rFonts w:ascii="Arial" w:hAnsi="Arial" w:cs="Arial"/>
          <w:sz w:val="24"/>
          <w:szCs w:val="24"/>
        </w:rPr>
      </w:pPr>
    </w:p>
    <w:p w:rsidR="00D77E7B" w:rsidRPr="00554D20" w:rsidRDefault="00D77E7B" w:rsidP="00E14CA2">
      <w:pPr>
        <w:pBdr>
          <w:top w:val="single" w:sz="4" w:space="1" w:color="auto"/>
          <w:left w:val="single" w:sz="4" w:space="4" w:color="auto"/>
          <w:bottom w:val="single" w:sz="4" w:space="1" w:color="auto"/>
          <w:right w:val="single" w:sz="4" w:space="4" w:color="auto"/>
        </w:pBdr>
        <w:tabs>
          <w:tab w:val="decimal" w:pos="6840"/>
        </w:tabs>
        <w:rPr>
          <w:rFonts w:ascii="Arial" w:hAnsi="Arial" w:cs="Arial"/>
          <w:sz w:val="24"/>
          <w:szCs w:val="24"/>
        </w:rPr>
      </w:pPr>
    </w:p>
    <w:p w:rsidR="00D77E7B" w:rsidRPr="00554D20" w:rsidRDefault="00D77E7B" w:rsidP="00E14CA2">
      <w:pPr>
        <w:numPr>
          <w:ilvl w:val="0"/>
          <w:numId w:val="14"/>
        </w:numPr>
        <w:pBdr>
          <w:top w:val="single" w:sz="4" w:space="1" w:color="auto"/>
          <w:left w:val="single" w:sz="4" w:space="4" w:color="auto"/>
          <w:bottom w:val="single" w:sz="4" w:space="1" w:color="auto"/>
          <w:right w:val="single" w:sz="4" w:space="4" w:color="auto"/>
        </w:pBdr>
        <w:tabs>
          <w:tab w:val="decimal" w:pos="6840"/>
        </w:tabs>
        <w:spacing w:line="240" w:lineRule="auto"/>
        <w:rPr>
          <w:rFonts w:ascii="Arial" w:hAnsi="Arial" w:cs="Arial"/>
          <w:sz w:val="24"/>
          <w:szCs w:val="24"/>
        </w:rPr>
      </w:pPr>
      <w:r w:rsidRPr="00554D20">
        <w:rPr>
          <w:rFonts w:ascii="Arial" w:hAnsi="Arial" w:cs="Arial"/>
          <w:sz w:val="24"/>
          <w:szCs w:val="24"/>
        </w:rPr>
        <w:t>Assessment of internal controls</w:t>
      </w:r>
      <w:r w:rsidR="00AC4688">
        <w:rPr>
          <w:rFonts w:ascii="Arial" w:hAnsi="Arial" w:cs="Arial"/>
          <w:sz w:val="24"/>
          <w:szCs w:val="24"/>
        </w:rPr>
        <w:tab/>
        <w:t>1</w:t>
      </w:r>
      <w:r w:rsidRPr="00554D20">
        <w:rPr>
          <w:rFonts w:ascii="Arial" w:hAnsi="Arial" w:cs="Arial"/>
          <w:sz w:val="24"/>
          <w:szCs w:val="24"/>
        </w:rPr>
        <w:tab/>
      </w:r>
    </w:p>
    <w:p w:rsidR="00D77E7B" w:rsidRPr="00554D20" w:rsidRDefault="00D77E7B" w:rsidP="00E14CA2">
      <w:pPr>
        <w:pBdr>
          <w:top w:val="single" w:sz="4" w:space="1" w:color="auto"/>
          <w:left w:val="single" w:sz="4" w:space="4" w:color="auto"/>
          <w:bottom w:val="single" w:sz="4" w:space="1" w:color="auto"/>
          <w:right w:val="single" w:sz="4" w:space="4" w:color="auto"/>
        </w:pBdr>
        <w:tabs>
          <w:tab w:val="decimal" w:pos="6840"/>
        </w:tabs>
        <w:rPr>
          <w:rFonts w:ascii="Arial" w:hAnsi="Arial" w:cs="Arial"/>
          <w:sz w:val="24"/>
          <w:szCs w:val="24"/>
        </w:rPr>
      </w:pPr>
    </w:p>
    <w:p w:rsidR="00D77E7B" w:rsidRPr="00554D20" w:rsidRDefault="00D77E7B" w:rsidP="00E14CA2">
      <w:pPr>
        <w:pBdr>
          <w:top w:val="single" w:sz="4" w:space="1" w:color="auto"/>
          <w:left w:val="single" w:sz="4" w:space="4" w:color="auto"/>
          <w:bottom w:val="single" w:sz="4" w:space="1" w:color="auto"/>
          <w:right w:val="single" w:sz="4" w:space="4" w:color="auto"/>
        </w:pBdr>
        <w:tabs>
          <w:tab w:val="decimal" w:pos="6840"/>
        </w:tabs>
        <w:rPr>
          <w:rFonts w:ascii="Arial" w:hAnsi="Arial" w:cs="Arial"/>
          <w:sz w:val="24"/>
          <w:szCs w:val="24"/>
        </w:rPr>
      </w:pPr>
    </w:p>
    <w:p w:rsidR="00D77E7B" w:rsidRPr="00554D20" w:rsidRDefault="00D77E7B" w:rsidP="00E14CA2">
      <w:pPr>
        <w:numPr>
          <w:ilvl w:val="0"/>
          <w:numId w:val="14"/>
        </w:numPr>
        <w:pBdr>
          <w:top w:val="single" w:sz="4" w:space="1" w:color="auto"/>
          <w:left w:val="single" w:sz="4" w:space="4" w:color="auto"/>
          <w:bottom w:val="single" w:sz="4" w:space="1" w:color="auto"/>
          <w:right w:val="single" w:sz="4" w:space="4" w:color="auto"/>
        </w:pBdr>
        <w:tabs>
          <w:tab w:val="decimal" w:pos="6840"/>
        </w:tabs>
        <w:spacing w:line="240" w:lineRule="auto"/>
        <w:rPr>
          <w:rFonts w:ascii="Arial" w:hAnsi="Arial" w:cs="Arial"/>
          <w:sz w:val="24"/>
          <w:szCs w:val="24"/>
        </w:rPr>
      </w:pPr>
      <w:r w:rsidRPr="00554D20">
        <w:rPr>
          <w:rFonts w:ascii="Arial" w:hAnsi="Arial" w:cs="Arial"/>
          <w:sz w:val="24"/>
          <w:szCs w:val="24"/>
        </w:rPr>
        <w:t>Internal audit work undertaken</w:t>
      </w:r>
      <w:r w:rsidRPr="00554D20">
        <w:rPr>
          <w:rFonts w:ascii="Arial" w:hAnsi="Arial" w:cs="Arial"/>
          <w:sz w:val="24"/>
          <w:szCs w:val="24"/>
        </w:rPr>
        <w:tab/>
      </w:r>
      <w:r w:rsidR="00AC4688">
        <w:rPr>
          <w:rFonts w:ascii="Arial" w:hAnsi="Arial" w:cs="Arial"/>
          <w:sz w:val="24"/>
          <w:szCs w:val="24"/>
        </w:rPr>
        <w:t>4</w:t>
      </w:r>
    </w:p>
    <w:p w:rsidR="00D77E7B" w:rsidRPr="00554D20" w:rsidRDefault="00D77E7B" w:rsidP="00E14CA2">
      <w:pPr>
        <w:pBdr>
          <w:top w:val="single" w:sz="4" w:space="1" w:color="auto"/>
          <w:left w:val="single" w:sz="4" w:space="4" w:color="auto"/>
          <w:bottom w:val="single" w:sz="4" w:space="1" w:color="auto"/>
          <w:right w:val="single" w:sz="4" w:space="4" w:color="auto"/>
        </w:pBdr>
        <w:tabs>
          <w:tab w:val="decimal" w:pos="6840"/>
        </w:tabs>
        <w:rPr>
          <w:rFonts w:ascii="Arial" w:hAnsi="Arial" w:cs="Arial"/>
          <w:sz w:val="24"/>
          <w:szCs w:val="24"/>
        </w:rPr>
      </w:pPr>
    </w:p>
    <w:p w:rsidR="00D77E7B" w:rsidRPr="00554D20" w:rsidRDefault="00D77E7B" w:rsidP="00E14CA2">
      <w:pPr>
        <w:pBdr>
          <w:top w:val="single" w:sz="4" w:space="1" w:color="auto"/>
          <w:left w:val="single" w:sz="4" w:space="4" w:color="auto"/>
          <w:bottom w:val="single" w:sz="4" w:space="1" w:color="auto"/>
          <w:right w:val="single" w:sz="4" w:space="4" w:color="auto"/>
        </w:pBdr>
        <w:tabs>
          <w:tab w:val="decimal" w:pos="6840"/>
        </w:tabs>
        <w:rPr>
          <w:rFonts w:ascii="Arial" w:hAnsi="Arial" w:cs="Arial"/>
          <w:sz w:val="24"/>
          <w:szCs w:val="24"/>
        </w:rPr>
      </w:pPr>
    </w:p>
    <w:p w:rsidR="00A86A55" w:rsidRDefault="00A86A55" w:rsidP="00E14CA2">
      <w:pPr>
        <w:numPr>
          <w:ilvl w:val="0"/>
          <w:numId w:val="14"/>
        </w:numPr>
        <w:pBdr>
          <w:top w:val="single" w:sz="4" w:space="1" w:color="auto"/>
          <w:left w:val="single" w:sz="4" w:space="4" w:color="auto"/>
          <w:bottom w:val="single" w:sz="4" w:space="1" w:color="auto"/>
          <w:right w:val="single" w:sz="4" w:space="4" w:color="auto"/>
        </w:pBdr>
        <w:tabs>
          <w:tab w:val="decimal" w:pos="6840"/>
        </w:tabs>
        <w:spacing w:line="240" w:lineRule="auto"/>
        <w:rPr>
          <w:rFonts w:ascii="Arial" w:hAnsi="Arial" w:cs="Arial"/>
          <w:sz w:val="24"/>
          <w:szCs w:val="24"/>
        </w:rPr>
      </w:pPr>
      <w:r>
        <w:rPr>
          <w:rFonts w:ascii="Arial" w:hAnsi="Arial" w:cs="Arial"/>
          <w:sz w:val="24"/>
          <w:szCs w:val="24"/>
        </w:rPr>
        <w:t>Internal audit plan 201</w:t>
      </w:r>
      <w:r w:rsidR="005C460B">
        <w:rPr>
          <w:rFonts w:ascii="Arial" w:hAnsi="Arial" w:cs="Arial"/>
          <w:sz w:val="24"/>
          <w:szCs w:val="24"/>
        </w:rPr>
        <w:t>4</w:t>
      </w:r>
      <w:r>
        <w:rPr>
          <w:rFonts w:ascii="Arial" w:hAnsi="Arial" w:cs="Arial"/>
          <w:sz w:val="24"/>
          <w:szCs w:val="24"/>
        </w:rPr>
        <w:t>/1</w:t>
      </w:r>
      <w:r w:rsidR="005C460B">
        <w:rPr>
          <w:rFonts w:ascii="Arial" w:hAnsi="Arial" w:cs="Arial"/>
          <w:sz w:val="24"/>
          <w:szCs w:val="24"/>
        </w:rPr>
        <w:t>5</w:t>
      </w:r>
      <w:r w:rsidR="00AC4688">
        <w:rPr>
          <w:rFonts w:ascii="Arial" w:hAnsi="Arial" w:cs="Arial"/>
          <w:sz w:val="24"/>
          <w:szCs w:val="24"/>
        </w:rPr>
        <w:tab/>
        <w:t>4</w:t>
      </w:r>
    </w:p>
    <w:p w:rsidR="00A86A55" w:rsidRDefault="00A86A55" w:rsidP="00A86A55">
      <w:pPr>
        <w:pBdr>
          <w:top w:val="single" w:sz="4" w:space="1" w:color="auto"/>
          <w:left w:val="single" w:sz="4" w:space="4" w:color="auto"/>
          <w:bottom w:val="single" w:sz="4" w:space="1" w:color="auto"/>
          <w:right w:val="single" w:sz="4" w:space="4" w:color="auto"/>
        </w:pBdr>
        <w:tabs>
          <w:tab w:val="decimal" w:pos="6840"/>
        </w:tabs>
        <w:spacing w:line="240" w:lineRule="auto"/>
        <w:rPr>
          <w:rFonts w:ascii="Arial" w:hAnsi="Arial" w:cs="Arial"/>
          <w:sz w:val="24"/>
          <w:szCs w:val="24"/>
        </w:rPr>
      </w:pPr>
    </w:p>
    <w:p w:rsidR="00A86A55" w:rsidRDefault="00A86A55" w:rsidP="00A86A55">
      <w:pPr>
        <w:pBdr>
          <w:top w:val="single" w:sz="4" w:space="1" w:color="auto"/>
          <w:left w:val="single" w:sz="4" w:space="4" w:color="auto"/>
          <w:bottom w:val="single" w:sz="4" w:space="1" w:color="auto"/>
          <w:right w:val="single" w:sz="4" w:space="4" w:color="auto"/>
        </w:pBdr>
        <w:tabs>
          <w:tab w:val="decimal" w:pos="6840"/>
        </w:tabs>
        <w:spacing w:line="240" w:lineRule="auto"/>
        <w:rPr>
          <w:rFonts w:ascii="Arial" w:hAnsi="Arial" w:cs="Arial"/>
          <w:sz w:val="24"/>
          <w:szCs w:val="24"/>
        </w:rPr>
      </w:pPr>
    </w:p>
    <w:p w:rsidR="00D77E7B" w:rsidRPr="00554D20" w:rsidRDefault="00D77E7B" w:rsidP="00E14CA2">
      <w:pPr>
        <w:numPr>
          <w:ilvl w:val="0"/>
          <w:numId w:val="14"/>
        </w:numPr>
        <w:pBdr>
          <w:top w:val="single" w:sz="4" w:space="1" w:color="auto"/>
          <w:left w:val="single" w:sz="4" w:space="4" w:color="auto"/>
          <w:bottom w:val="single" w:sz="4" w:space="1" w:color="auto"/>
          <w:right w:val="single" w:sz="4" w:space="4" w:color="auto"/>
        </w:pBdr>
        <w:tabs>
          <w:tab w:val="decimal" w:pos="6840"/>
        </w:tabs>
        <w:spacing w:line="240" w:lineRule="auto"/>
        <w:rPr>
          <w:rFonts w:ascii="Arial" w:hAnsi="Arial" w:cs="Arial"/>
          <w:sz w:val="24"/>
          <w:szCs w:val="24"/>
        </w:rPr>
      </w:pPr>
      <w:r w:rsidRPr="00554D20">
        <w:rPr>
          <w:rFonts w:ascii="Arial" w:hAnsi="Arial" w:cs="Arial"/>
          <w:sz w:val="24"/>
          <w:szCs w:val="24"/>
        </w:rPr>
        <w:t>Scope, responsibilities and assurance</w:t>
      </w:r>
      <w:r w:rsidRPr="00554D20">
        <w:rPr>
          <w:rFonts w:ascii="Arial" w:hAnsi="Arial" w:cs="Arial"/>
          <w:sz w:val="24"/>
          <w:szCs w:val="24"/>
        </w:rPr>
        <w:tab/>
      </w:r>
      <w:r w:rsidR="005C460B">
        <w:rPr>
          <w:rFonts w:ascii="Arial" w:hAnsi="Arial" w:cs="Arial"/>
          <w:sz w:val="24"/>
          <w:szCs w:val="24"/>
        </w:rPr>
        <w:t>5</w:t>
      </w:r>
    </w:p>
    <w:p w:rsidR="00D77E7B" w:rsidRPr="00554D20" w:rsidRDefault="00D77E7B" w:rsidP="00E14CA2">
      <w:pPr>
        <w:pBdr>
          <w:top w:val="single" w:sz="4" w:space="1" w:color="auto"/>
          <w:left w:val="single" w:sz="4" w:space="4" w:color="auto"/>
          <w:bottom w:val="single" w:sz="4" w:space="1" w:color="auto"/>
          <w:right w:val="single" w:sz="4" w:space="4" w:color="auto"/>
        </w:pBdr>
        <w:tabs>
          <w:tab w:val="decimal" w:pos="6840"/>
        </w:tabs>
        <w:rPr>
          <w:rFonts w:ascii="Arial" w:hAnsi="Arial" w:cs="Arial"/>
          <w:sz w:val="24"/>
          <w:szCs w:val="24"/>
        </w:rPr>
      </w:pPr>
    </w:p>
    <w:p w:rsidR="00D77E7B" w:rsidRPr="00554D20" w:rsidRDefault="00D77E7B" w:rsidP="00E14CA2">
      <w:pPr>
        <w:pBdr>
          <w:top w:val="single" w:sz="4" w:space="1" w:color="auto"/>
          <w:left w:val="single" w:sz="4" w:space="4" w:color="auto"/>
          <w:bottom w:val="single" w:sz="4" w:space="1" w:color="auto"/>
          <w:right w:val="single" w:sz="4" w:space="4" w:color="auto"/>
        </w:pBdr>
        <w:tabs>
          <w:tab w:val="decimal" w:pos="6840"/>
        </w:tabs>
        <w:rPr>
          <w:rFonts w:ascii="Arial" w:hAnsi="Arial" w:cs="Arial"/>
          <w:sz w:val="24"/>
          <w:szCs w:val="24"/>
        </w:rPr>
      </w:pPr>
    </w:p>
    <w:p w:rsidR="00D77E7B" w:rsidRPr="00554D20" w:rsidRDefault="00D77E7B" w:rsidP="00E14CA2">
      <w:pPr>
        <w:numPr>
          <w:ilvl w:val="0"/>
          <w:numId w:val="14"/>
        </w:numPr>
        <w:pBdr>
          <w:top w:val="single" w:sz="4" w:space="1" w:color="auto"/>
          <w:left w:val="single" w:sz="4" w:space="4" w:color="auto"/>
          <w:bottom w:val="single" w:sz="4" w:space="1" w:color="auto"/>
          <w:right w:val="single" w:sz="4" w:space="4" w:color="auto"/>
        </w:pBdr>
        <w:tabs>
          <w:tab w:val="decimal" w:pos="6840"/>
        </w:tabs>
        <w:spacing w:line="240" w:lineRule="auto"/>
        <w:rPr>
          <w:rFonts w:ascii="Arial" w:hAnsi="Arial" w:cs="Arial"/>
          <w:sz w:val="24"/>
          <w:szCs w:val="24"/>
        </w:rPr>
      </w:pPr>
      <w:r w:rsidRPr="00554D20">
        <w:rPr>
          <w:rFonts w:ascii="Arial" w:hAnsi="Arial" w:cs="Arial"/>
          <w:sz w:val="24"/>
          <w:szCs w:val="24"/>
        </w:rPr>
        <w:t>Summary of findings</w:t>
      </w:r>
      <w:r w:rsidRPr="00554D20">
        <w:rPr>
          <w:rFonts w:ascii="Arial" w:hAnsi="Arial" w:cs="Arial"/>
          <w:sz w:val="24"/>
          <w:szCs w:val="24"/>
        </w:rPr>
        <w:tab/>
      </w:r>
      <w:r w:rsidR="005C460B">
        <w:rPr>
          <w:rFonts w:ascii="Arial" w:hAnsi="Arial" w:cs="Arial"/>
          <w:sz w:val="24"/>
          <w:szCs w:val="24"/>
        </w:rPr>
        <w:t>6</w:t>
      </w:r>
    </w:p>
    <w:p w:rsidR="00D77E7B" w:rsidRDefault="00D77E7B" w:rsidP="00E14CA2">
      <w:pPr>
        <w:pBdr>
          <w:top w:val="single" w:sz="4" w:space="1" w:color="auto"/>
          <w:left w:val="single" w:sz="4" w:space="4" w:color="auto"/>
          <w:bottom w:val="single" w:sz="4" w:space="1" w:color="auto"/>
          <w:right w:val="single" w:sz="4" w:space="4" w:color="auto"/>
        </w:pBdr>
        <w:tabs>
          <w:tab w:val="decimal" w:pos="6840"/>
        </w:tabs>
        <w:rPr>
          <w:rFonts w:ascii="Arial" w:hAnsi="Arial" w:cs="Arial"/>
          <w:sz w:val="24"/>
          <w:szCs w:val="24"/>
        </w:rPr>
      </w:pPr>
    </w:p>
    <w:p w:rsidR="00D77E7B" w:rsidRPr="00554D20" w:rsidRDefault="00D77E7B" w:rsidP="00E14CA2">
      <w:pPr>
        <w:pBdr>
          <w:top w:val="single" w:sz="4" w:space="1" w:color="auto"/>
          <w:left w:val="single" w:sz="4" w:space="4" w:color="auto"/>
          <w:bottom w:val="single" w:sz="4" w:space="1" w:color="auto"/>
          <w:right w:val="single" w:sz="4" w:space="4" w:color="auto"/>
        </w:pBdr>
        <w:tabs>
          <w:tab w:val="decimal" w:pos="6840"/>
        </w:tabs>
        <w:rPr>
          <w:rFonts w:ascii="Arial" w:hAnsi="Arial" w:cs="Arial"/>
          <w:sz w:val="24"/>
          <w:szCs w:val="24"/>
        </w:rPr>
      </w:pPr>
    </w:p>
    <w:p w:rsidR="00D77E7B" w:rsidRPr="004677C3" w:rsidRDefault="00D77E7B" w:rsidP="00E14CA2">
      <w:pPr>
        <w:pBdr>
          <w:top w:val="single" w:sz="4" w:space="1" w:color="auto"/>
          <w:left w:val="single" w:sz="4" w:space="4" w:color="auto"/>
          <w:bottom w:val="single" w:sz="4" w:space="1" w:color="auto"/>
          <w:right w:val="single" w:sz="4" w:space="4" w:color="auto"/>
        </w:pBdr>
        <w:tabs>
          <w:tab w:val="decimal" w:pos="6840"/>
        </w:tabs>
        <w:rPr>
          <w:rFonts w:ascii="Arial" w:hAnsi="Arial" w:cs="Arial"/>
          <w:sz w:val="24"/>
          <w:szCs w:val="24"/>
        </w:rPr>
      </w:pPr>
    </w:p>
    <w:p w:rsidR="00D77E7B" w:rsidRPr="00554D20" w:rsidRDefault="00D77E7B" w:rsidP="00E14CA2">
      <w:pPr>
        <w:pBdr>
          <w:top w:val="single" w:sz="4" w:space="1" w:color="auto"/>
          <w:left w:val="single" w:sz="4" w:space="4" w:color="auto"/>
          <w:bottom w:val="single" w:sz="4" w:space="1" w:color="auto"/>
          <w:right w:val="single" w:sz="4" w:space="4" w:color="auto"/>
        </w:pBdr>
        <w:tabs>
          <w:tab w:val="decimal" w:pos="6840"/>
        </w:tabs>
        <w:rPr>
          <w:rFonts w:ascii="Arial" w:hAnsi="Arial" w:cs="Arial"/>
          <w:sz w:val="24"/>
          <w:szCs w:val="24"/>
        </w:rPr>
      </w:pPr>
    </w:p>
    <w:p w:rsidR="00D77E7B" w:rsidRDefault="00D77E7B" w:rsidP="00E14CA2">
      <w:pPr>
        <w:pStyle w:val="BodyText"/>
        <w:rPr>
          <w:rFonts w:ascii="Arial" w:hAnsi="Arial"/>
          <w:b/>
          <w:sz w:val="24"/>
        </w:rPr>
      </w:pPr>
    </w:p>
    <w:p w:rsidR="00D77E7B" w:rsidRDefault="00D77E7B" w:rsidP="00E14CA2">
      <w:pPr>
        <w:pStyle w:val="BodyText"/>
        <w:rPr>
          <w:rFonts w:ascii="Arial" w:hAnsi="Arial"/>
          <w:b/>
          <w:sz w:val="24"/>
        </w:rPr>
      </w:pPr>
    </w:p>
    <w:p w:rsidR="00D77E7B" w:rsidRDefault="00D77E7B" w:rsidP="00E14CA2">
      <w:pPr>
        <w:pStyle w:val="BodyText"/>
        <w:rPr>
          <w:rFonts w:ascii="Arial" w:hAnsi="Arial"/>
          <w:b/>
          <w:sz w:val="24"/>
        </w:rPr>
      </w:pPr>
    </w:p>
    <w:p w:rsidR="00D77E7B" w:rsidRDefault="00D77E7B" w:rsidP="00E14CA2">
      <w:pPr>
        <w:pStyle w:val="BodyText"/>
        <w:rPr>
          <w:rFonts w:ascii="Arial" w:hAnsi="Arial"/>
          <w:b/>
          <w:sz w:val="24"/>
        </w:rPr>
      </w:pPr>
    </w:p>
    <w:p w:rsidR="00D77E7B" w:rsidRDefault="00D77E7B" w:rsidP="00E14CA2">
      <w:pPr>
        <w:pStyle w:val="BodyText"/>
        <w:rPr>
          <w:rFonts w:ascii="Arial" w:hAnsi="Arial"/>
          <w:b/>
          <w:sz w:val="24"/>
        </w:rPr>
        <w:sectPr w:rsidR="00D77E7B" w:rsidSect="00144925">
          <w:headerReference w:type="default" r:id="rId11"/>
          <w:footerReference w:type="default" r:id="rId12"/>
          <w:headerReference w:type="first" r:id="rId13"/>
          <w:pgSz w:w="12240" w:h="15840"/>
          <w:pgMar w:top="1440" w:right="1797" w:bottom="1440" w:left="1797" w:header="709" w:footer="709" w:gutter="0"/>
          <w:pgNumType w:start="2"/>
          <w:cols w:space="708"/>
          <w:rtlGutter/>
          <w:docGrid w:linePitch="360"/>
        </w:sectPr>
      </w:pPr>
    </w:p>
    <w:p w:rsidR="00D77E7B" w:rsidRPr="00C758F9" w:rsidRDefault="00D77E7B" w:rsidP="009424D4">
      <w:pPr>
        <w:pStyle w:val="BodyText"/>
        <w:numPr>
          <w:ilvl w:val="0"/>
          <w:numId w:val="1"/>
        </w:numPr>
        <w:rPr>
          <w:rFonts w:ascii="Arial" w:hAnsi="Arial"/>
          <w:b/>
          <w:sz w:val="24"/>
        </w:rPr>
      </w:pPr>
      <w:r w:rsidRPr="00C758F9">
        <w:rPr>
          <w:rFonts w:ascii="Arial" w:hAnsi="Arial"/>
          <w:b/>
          <w:sz w:val="24"/>
        </w:rPr>
        <w:lastRenderedPageBreak/>
        <w:t>Introduction</w:t>
      </w:r>
    </w:p>
    <w:p w:rsidR="00D77E7B" w:rsidRPr="00544EB2" w:rsidRDefault="00D77E7B" w:rsidP="009424D4">
      <w:pPr>
        <w:numPr>
          <w:ilvl w:val="1"/>
          <w:numId w:val="1"/>
        </w:numPr>
        <w:spacing w:after="240" w:line="240" w:lineRule="auto"/>
        <w:rPr>
          <w:rFonts w:ascii="Arial" w:hAnsi="Arial"/>
          <w:sz w:val="24"/>
        </w:rPr>
      </w:pPr>
      <w:r w:rsidRPr="004636A1">
        <w:rPr>
          <w:rFonts w:ascii="Arial" w:hAnsi="Arial" w:cs="Arial"/>
          <w:sz w:val="24"/>
          <w:szCs w:val="24"/>
        </w:rPr>
        <w:t>I</w:t>
      </w:r>
      <w:r w:rsidRPr="00544EB2">
        <w:rPr>
          <w:rFonts w:ascii="Arial" w:hAnsi="Arial"/>
          <w:sz w:val="24"/>
        </w:rPr>
        <w:t xml:space="preserve">nternal Audit is an assurance function that primarily provides an independent and objective opinion on the adequacy of the organisation’s control environment. The </w:t>
      </w:r>
      <w:r w:rsidR="005C460B">
        <w:rPr>
          <w:rFonts w:ascii="Arial" w:hAnsi="Arial"/>
          <w:sz w:val="24"/>
        </w:rPr>
        <w:t>Public Sector Internal Audit Standards</w:t>
      </w:r>
      <w:r>
        <w:rPr>
          <w:rFonts w:ascii="Arial" w:hAnsi="Arial"/>
          <w:sz w:val="24"/>
        </w:rPr>
        <w:t xml:space="preserve"> require the </w:t>
      </w:r>
      <w:r w:rsidR="005C460B">
        <w:rPr>
          <w:rFonts w:ascii="Arial" w:hAnsi="Arial"/>
          <w:sz w:val="24"/>
        </w:rPr>
        <w:t>chief internal auditor</w:t>
      </w:r>
      <w:r w:rsidRPr="00544EB2">
        <w:rPr>
          <w:rFonts w:ascii="Arial" w:hAnsi="Arial"/>
          <w:sz w:val="24"/>
        </w:rPr>
        <w:t xml:space="preserve"> to provide a written report to those charged with governance, timed to support the Annual Governance Statement, which includes an opinion on the overall adequacy and effectiveness of the organisation’s governance arrangements, including the control environment. This report presents our opinion based upon the work we have performed.</w:t>
      </w:r>
    </w:p>
    <w:p w:rsidR="00D77E7B" w:rsidRPr="00D22100" w:rsidRDefault="00D77E7B" w:rsidP="009424D4">
      <w:pPr>
        <w:pStyle w:val="BodyText"/>
        <w:numPr>
          <w:ilvl w:val="1"/>
          <w:numId w:val="1"/>
        </w:numPr>
        <w:rPr>
          <w:rFonts w:ascii="Arial" w:hAnsi="Arial"/>
          <w:sz w:val="24"/>
        </w:rPr>
      </w:pPr>
      <w:r>
        <w:rPr>
          <w:rFonts w:ascii="Arial" w:hAnsi="Arial"/>
          <w:sz w:val="24"/>
        </w:rPr>
        <w:t>This report covers the period 1 April 201</w:t>
      </w:r>
      <w:r w:rsidR="00C8186A">
        <w:rPr>
          <w:rFonts w:ascii="Arial" w:hAnsi="Arial"/>
          <w:sz w:val="24"/>
        </w:rPr>
        <w:t>3</w:t>
      </w:r>
      <w:r>
        <w:rPr>
          <w:rFonts w:ascii="Arial" w:hAnsi="Arial"/>
          <w:sz w:val="24"/>
        </w:rPr>
        <w:t xml:space="preserve"> to 31 March 201</w:t>
      </w:r>
      <w:r w:rsidR="00C8186A">
        <w:rPr>
          <w:rFonts w:ascii="Arial" w:hAnsi="Arial"/>
          <w:sz w:val="24"/>
        </w:rPr>
        <w:t>4</w:t>
      </w:r>
      <w:r>
        <w:rPr>
          <w:rFonts w:ascii="Arial" w:hAnsi="Arial"/>
          <w:sz w:val="24"/>
        </w:rPr>
        <w:t>.</w:t>
      </w:r>
    </w:p>
    <w:p w:rsidR="00D77E7B" w:rsidRDefault="00D77E7B" w:rsidP="009424D4">
      <w:pPr>
        <w:pStyle w:val="BodyText"/>
        <w:ind w:firstLine="851"/>
        <w:rPr>
          <w:rFonts w:ascii="Arial" w:hAnsi="Arial"/>
          <w:sz w:val="24"/>
        </w:rPr>
      </w:pPr>
      <w:r w:rsidRPr="002308BA">
        <w:rPr>
          <w:rFonts w:ascii="Arial" w:hAnsi="Arial"/>
          <w:b/>
          <w:i/>
          <w:sz w:val="24"/>
        </w:rPr>
        <w:t>Acknowledgements</w:t>
      </w:r>
    </w:p>
    <w:p w:rsidR="00D77E7B" w:rsidRDefault="00D77E7B" w:rsidP="009424D4">
      <w:pPr>
        <w:pStyle w:val="BodyText"/>
        <w:numPr>
          <w:ilvl w:val="1"/>
          <w:numId w:val="1"/>
        </w:numPr>
        <w:rPr>
          <w:rFonts w:ascii="Arial" w:hAnsi="Arial"/>
          <w:sz w:val="24"/>
        </w:rPr>
      </w:pPr>
      <w:r>
        <w:rPr>
          <w:rFonts w:ascii="Arial" w:hAnsi="Arial"/>
          <w:sz w:val="24"/>
        </w:rPr>
        <w:t xml:space="preserve">We are grateful for the assistance that has been provided to us by </w:t>
      </w:r>
      <w:r w:rsidR="001A0118">
        <w:rPr>
          <w:rFonts w:ascii="Arial" w:hAnsi="Arial"/>
          <w:sz w:val="24"/>
        </w:rPr>
        <w:t>staff in</w:t>
      </w:r>
      <w:r>
        <w:rPr>
          <w:rFonts w:ascii="Arial" w:hAnsi="Arial"/>
          <w:sz w:val="24"/>
        </w:rPr>
        <w:t xml:space="preserve"> </w:t>
      </w:r>
      <w:r w:rsidR="00770B1A">
        <w:rPr>
          <w:rFonts w:ascii="Arial" w:hAnsi="Arial"/>
          <w:sz w:val="24"/>
        </w:rPr>
        <w:t>the County Treasurer's D</w:t>
      </w:r>
      <w:r w:rsidR="00C8186A">
        <w:rPr>
          <w:rFonts w:ascii="Arial" w:hAnsi="Arial"/>
          <w:sz w:val="24"/>
        </w:rPr>
        <w:t>irectorate and Your Pensions Service.</w:t>
      </w:r>
    </w:p>
    <w:p w:rsidR="00D77E7B" w:rsidRPr="00D11ACD" w:rsidRDefault="00D77E7B" w:rsidP="009424D4">
      <w:pPr>
        <w:pStyle w:val="BodyText"/>
        <w:numPr>
          <w:ilvl w:val="0"/>
          <w:numId w:val="1"/>
        </w:numPr>
        <w:rPr>
          <w:rFonts w:ascii="Arial" w:hAnsi="Arial"/>
          <w:b/>
          <w:sz w:val="24"/>
        </w:rPr>
      </w:pPr>
      <w:r w:rsidRPr="00D11ACD">
        <w:rPr>
          <w:rFonts w:ascii="Arial" w:hAnsi="Arial"/>
          <w:b/>
          <w:sz w:val="24"/>
        </w:rPr>
        <w:t xml:space="preserve">Assessment of internal controls </w:t>
      </w:r>
    </w:p>
    <w:p w:rsidR="00D77E7B" w:rsidRDefault="00D77E7B" w:rsidP="009424D4">
      <w:pPr>
        <w:pStyle w:val="BodyText"/>
        <w:ind w:firstLine="851"/>
        <w:rPr>
          <w:rFonts w:ascii="Arial" w:hAnsi="Arial"/>
          <w:b/>
          <w:i/>
          <w:sz w:val="24"/>
        </w:rPr>
      </w:pPr>
      <w:r w:rsidRPr="00C802C5">
        <w:rPr>
          <w:rFonts w:ascii="Arial" w:hAnsi="Arial"/>
          <w:b/>
          <w:i/>
          <w:sz w:val="24"/>
        </w:rPr>
        <w:t>Overall opinion</w:t>
      </w:r>
    </w:p>
    <w:p w:rsidR="00D77E7B" w:rsidRDefault="00D77E7B" w:rsidP="009424D4">
      <w:pPr>
        <w:pStyle w:val="BodyText"/>
        <w:numPr>
          <w:ilvl w:val="1"/>
          <w:numId w:val="1"/>
        </w:numPr>
        <w:rPr>
          <w:rFonts w:ascii="Arial" w:hAnsi="Arial"/>
          <w:sz w:val="24"/>
        </w:rPr>
      </w:pPr>
      <w:r w:rsidRPr="00D15173">
        <w:rPr>
          <w:rFonts w:ascii="Arial" w:hAnsi="Arial"/>
          <w:sz w:val="24"/>
        </w:rPr>
        <w:t>Based on the internal audit work undertaken</w:t>
      </w:r>
      <w:r>
        <w:rPr>
          <w:rFonts w:ascii="Arial" w:hAnsi="Arial"/>
          <w:sz w:val="24"/>
        </w:rPr>
        <w:t xml:space="preserve"> during the year we are able to provide </w:t>
      </w:r>
      <w:r w:rsidRPr="004C1983">
        <w:rPr>
          <w:rFonts w:ascii="Arial" w:hAnsi="Arial"/>
          <w:b/>
          <w:sz w:val="24"/>
        </w:rPr>
        <w:t>substantial</w:t>
      </w:r>
      <w:r>
        <w:rPr>
          <w:rFonts w:ascii="Arial" w:hAnsi="Arial"/>
          <w:sz w:val="24"/>
        </w:rPr>
        <w:t xml:space="preserve"> assurance over the internal control environment for the pension fund and pension administration. </w:t>
      </w:r>
    </w:p>
    <w:p w:rsidR="00D77E7B" w:rsidRDefault="00D77E7B" w:rsidP="009424D4">
      <w:pPr>
        <w:pStyle w:val="BodyText"/>
        <w:numPr>
          <w:ilvl w:val="1"/>
          <w:numId w:val="1"/>
        </w:numPr>
        <w:rPr>
          <w:rFonts w:ascii="Arial" w:hAnsi="Arial"/>
          <w:sz w:val="24"/>
        </w:rPr>
      </w:pPr>
      <w:r>
        <w:rPr>
          <w:rFonts w:ascii="Arial" w:hAnsi="Arial"/>
          <w:sz w:val="24"/>
        </w:rPr>
        <w:t>It is our opinion that there is a generally sound system of internal control which is adequately designed and controls are being consistently applied in the majority of areas reviewed, although there are some areas where control needs to be strengthened.</w:t>
      </w:r>
    </w:p>
    <w:p w:rsidR="00D77E7B" w:rsidRPr="00805013" w:rsidRDefault="00D77E7B" w:rsidP="00D15173">
      <w:pPr>
        <w:pStyle w:val="BodyText"/>
        <w:numPr>
          <w:ilvl w:val="1"/>
          <w:numId w:val="1"/>
        </w:numPr>
        <w:rPr>
          <w:rFonts w:ascii="Arial" w:hAnsi="Arial"/>
          <w:sz w:val="24"/>
        </w:rPr>
      </w:pPr>
      <w:r>
        <w:rPr>
          <w:rFonts w:ascii="Arial" w:hAnsi="Arial"/>
          <w:sz w:val="24"/>
        </w:rPr>
        <w:t xml:space="preserve">Management responses to the findings from our work have been positive and indicate that action has or will be taken where issues have been identified. </w:t>
      </w:r>
      <w:r w:rsidR="005C460B">
        <w:rPr>
          <w:rFonts w:ascii="Arial" w:hAnsi="Arial"/>
          <w:sz w:val="24"/>
        </w:rPr>
        <w:t xml:space="preserve">Our detailed findings identify good areas of effective control, raising only a </w:t>
      </w:r>
      <w:r w:rsidR="00AC4688">
        <w:rPr>
          <w:rFonts w:ascii="Arial" w:hAnsi="Arial"/>
          <w:sz w:val="24"/>
        </w:rPr>
        <w:t xml:space="preserve">small number of </w:t>
      </w:r>
      <w:r>
        <w:rPr>
          <w:rFonts w:ascii="Arial" w:hAnsi="Arial"/>
          <w:sz w:val="24"/>
        </w:rPr>
        <w:t>control issues which need to be addressed</w:t>
      </w:r>
      <w:r w:rsidR="005C460B">
        <w:rPr>
          <w:rFonts w:ascii="Arial" w:hAnsi="Arial"/>
          <w:sz w:val="24"/>
        </w:rPr>
        <w:t>.</w:t>
      </w:r>
      <w:r>
        <w:rPr>
          <w:rFonts w:ascii="Arial" w:hAnsi="Arial"/>
          <w:sz w:val="24"/>
        </w:rPr>
        <w:t xml:space="preserve"> </w:t>
      </w:r>
    </w:p>
    <w:p w:rsidR="00D77E7B" w:rsidRDefault="00D77E7B" w:rsidP="009424D4">
      <w:pPr>
        <w:pStyle w:val="BodyText"/>
        <w:ind w:firstLine="851"/>
        <w:rPr>
          <w:rFonts w:ascii="Arial" w:hAnsi="Arial"/>
          <w:b/>
          <w:i/>
          <w:sz w:val="24"/>
        </w:rPr>
      </w:pPr>
      <w:r w:rsidRPr="00D15173">
        <w:rPr>
          <w:rFonts w:ascii="Arial" w:hAnsi="Arial"/>
          <w:b/>
          <w:i/>
          <w:sz w:val="24"/>
        </w:rPr>
        <w:t>Key issues and themes arising during the period</w:t>
      </w:r>
    </w:p>
    <w:p w:rsidR="00C8186A" w:rsidRDefault="00C8186A" w:rsidP="009424D4">
      <w:pPr>
        <w:pStyle w:val="BodyText"/>
        <w:numPr>
          <w:ilvl w:val="1"/>
          <w:numId w:val="1"/>
        </w:numPr>
        <w:rPr>
          <w:rFonts w:ascii="Arial" w:hAnsi="Arial"/>
          <w:sz w:val="24"/>
        </w:rPr>
      </w:pPr>
      <w:r>
        <w:rPr>
          <w:rFonts w:ascii="Arial" w:hAnsi="Arial"/>
          <w:sz w:val="24"/>
        </w:rPr>
        <w:t>The findings of the individual reviews are briefly set out in the following paragraphs.</w:t>
      </w:r>
    </w:p>
    <w:p w:rsidR="00D77E7B" w:rsidRDefault="005F6D4B" w:rsidP="009424D4">
      <w:pPr>
        <w:pStyle w:val="BodyText"/>
        <w:numPr>
          <w:ilvl w:val="1"/>
          <w:numId w:val="1"/>
        </w:numPr>
        <w:rPr>
          <w:rFonts w:ascii="Arial" w:hAnsi="Arial"/>
          <w:sz w:val="24"/>
        </w:rPr>
      </w:pPr>
      <w:r w:rsidRPr="00980ABC">
        <w:rPr>
          <w:rFonts w:ascii="Arial" w:hAnsi="Arial"/>
          <w:sz w:val="24"/>
        </w:rPr>
        <w:t xml:space="preserve">We are able to provide substantial assurance over the pension administration procedures operated during the year which included </w:t>
      </w:r>
      <w:r w:rsidR="002F38B7">
        <w:rPr>
          <w:rFonts w:ascii="Arial" w:hAnsi="Arial"/>
          <w:sz w:val="24"/>
        </w:rPr>
        <w:t xml:space="preserve">the controls relating to auto-enrolment. Employers are required by law to enrol all workers, who meet certain criteria, into the workplace pension </w:t>
      </w:r>
      <w:r w:rsidR="002F38B7">
        <w:rPr>
          <w:rFonts w:ascii="Arial" w:hAnsi="Arial"/>
          <w:sz w:val="24"/>
        </w:rPr>
        <w:lastRenderedPageBreak/>
        <w:t>scheme. The review also considered the adequacy and effectiveness of the arrangements operated for the following</w:t>
      </w:r>
      <w:r w:rsidR="00D77E7B">
        <w:rPr>
          <w:rFonts w:ascii="Arial" w:hAnsi="Arial"/>
          <w:sz w:val="24"/>
        </w:rPr>
        <w:t>:</w:t>
      </w:r>
    </w:p>
    <w:p w:rsidR="00C8186A" w:rsidRPr="00C8186A" w:rsidRDefault="00C8186A" w:rsidP="00481184">
      <w:pPr>
        <w:pStyle w:val="BodyText"/>
        <w:numPr>
          <w:ilvl w:val="3"/>
          <w:numId w:val="1"/>
        </w:numPr>
        <w:spacing w:after="120"/>
        <w:rPr>
          <w:rFonts w:ascii="Arial" w:hAnsi="Arial"/>
          <w:sz w:val="24"/>
        </w:rPr>
      </w:pPr>
      <w:r>
        <w:rPr>
          <w:rFonts w:ascii="Arial" w:hAnsi="Arial"/>
          <w:sz w:val="24"/>
        </w:rPr>
        <w:t>payment of pensions;</w:t>
      </w:r>
    </w:p>
    <w:p w:rsidR="00D77E7B" w:rsidRDefault="00D77E7B" w:rsidP="00481184">
      <w:pPr>
        <w:pStyle w:val="BodyText"/>
        <w:numPr>
          <w:ilvl w:val="3"/>
          <w:numId w:val="1"/>
        </w:numPr>
        <w:spacing w:after="120"/>
        <w:rPr>
          <w:rFonts w:ascii="Arial" w:hAnsi="Arial"/>
          <w:sz w:val="24"/>
        </w:rPr>
      </w:pPr>
      <w:r>
        <w:rPr>
          <w:rFonts w:ascii="Arial" w:hAnsi="Arial"/>
          <w:sz w:val="24"/>
        </w:rPr>
        <w:t>retirement calculations;</w:t>
      </w:r>
    </w:p>
    <w:p w:rsidR="00D77E7B" w:rsidRDefault="00C8186A" w:rsidP="00481184">
      <w:pPr>
        <w:pStyle w:val="BodyText"/>
        <w:numPr>
          <w:ilvl w:val="3"/>
          <w:numId w:val="1"/>
        </w:numPr>
        <w:spacing w:after="120"/>
        <w:rPr>
          <w:rFonts w:ascii="Arial" w:hAnsi="Arial"/>
          <w:sz w:val="24"/>
        </w:rPr>
      </w:pPr>
      <w:r>
        <w:rPr>
          <w:rFonts w:ascii="Arial" w:hAnsi="Arial"/>
          <w:sz w:val="24"/>
        </w:rPr>
        <w:t>d</w:t>
      </w:r>
      <w:r w:rsidR="00D77E7B">
        <w:rPr>
          <w:rFonts w:ascii="Arial" w:hAnsi="Arial"/>
          <w:sz w:val="24"/>
        </w:rPr>
        <w:t>eath grant calculations;</w:t>
      </w:r>
    </w:p>
    <w:p w:rsidR="00D77E7B" w:rsidRDefault="00D77E7B" w:rsidP="00481184">
      <w:pPr>
        <w:pStyle w:val="BodyText"/>
        <w:numPr>
          <w:ilvl w:val="3"/>
          <w:numId w:val="1"/>
        </w:numPr>
        <w:spacing w:after="120"/>
        <w:rPr>
          <w:rFonts w:ascii="Arial" w:hAnsi="Arial"/>
          <w:sz w:val="24"/>
        </w:rPr>
      </w:pPr>
      <w:r>
        <w:rPr>
          <w:rFonts w:ascii="Arial" w:hAnsi="Arial"/>
          <w:sz w:val="24"/>
        </w:rPr>
        <w:t>employee  contributions to the scheme</w:t>
      </w:r>
      <w:r w:rsidR="00047BC1">
        <w:rPr>
          <w:rFonts w:ascii="Arial" w:hAnsi="Arial"/>
          <w:sz w:val="24"/>
        </w:rPr>
        <w:t xml:space="preserve"> and</w:t>
      </w:r>
    </w:p>
    <w:p w:rsidR="00D77E7B" w:rsidRDefault="00D77E7B" w:rsidP="00481184">
      <w:pPr>
        <w:pStyle w:val="BodyText"/>
        <w:numPr>
          <w:ilvl w:val="3"/>
          <w:numId w:val="1"/>
        </w:numPr>
        <w:spacing w:after="120"/>
        <w:rPr>
          <w:rFonts w:ascii="Arial" w:hAnsi="Arial"/>
          <w:sz w:val="24"/>
        </w:rPr>
      </w:pPr>
      <w:r>
        <w:rPr>
          <w:rFonts w:ascii="Arial" w:hAnsi="Arial"/>
          <w:sz w:val="24"/>
        </w:rPr>
        <w:t>transfers into and out of the scheme</w:t>
      </w:r>
      <w:r w:rsidR="00E9034A">
        <w:rPr>
          <w:rFonts w:ascii="Arial" w:hAnsi="Arial"/>
          <w:sz w:val="24"/>
        </w:rPr>
        <w:t xml:space="preserve">. </w:t>
      </w:r>
    </w:p>
    <w:p w:rsidR="00C8186A" w:rsidRDefault="00DC62AC" w:rsidP="00C8186A">
      <w:pPr>
        <w:pStyle w:val="BodyText"/>
        <w:spacing w:after="120"/>
        <w:ind w:left="851"/>
        <w:rPr>
          <w:rFonts w:ascii="Arial" w:hAnsi="Arial"/>
          <w:sz w:val="24"/>
        </w:rPr>
      </w:pPr>
      <w:r>
        <w:rPr>
          <w:rFonts w:ascii="Arial" w:hAnsi="Arial"/>
          <w:sz w:val="24"/>
        </w:rPr>
        <w:t xml:space="preserve">We have made one recommendation </w:t>
      </w:r>
      <w:r w:rsidR="00C8186A">
        <w:rPr>
          <w:rFonts w:ascii="Arial" w:hAnsi="Arial"/>
          <w:sz w:val="24"/>
        </w:rPr>
        <w:t>relating to evidencing the checks undertaken on the audit logs</w:t>
      </w:r>
      <w:r w:rsidR="005C460B">
        <w:rPr>
          <w:rFonts w:ascii="Arial" w:hAnsi="Arial"/>
          <w:sz w:val="24"/>
        </w:rPr>
        <w:t xml:space="preserve"> </w:t>
      </w:r>
      <w:r w:rsidR="00AF2695">
        <w:rPr>
          <w:rFonts w:ascii="Arial" w:hAnsi="Arial"/>
          <w:sz w:val="24"/>
        </w:rPr>
        <w:t xml:space="preserve">recording </w:t>
      </w:r>
      <w:r w:rsidR="005C460B">
        <w:rPr>
          <w:rFonts w:ascii="Arial" w:hAnsi="Arial"/>
          <w:sz w:val="24"/>
        </w:rPr>
        <w:t xml:space="preserve">changes made within the </w:t>
      </w:r>
      <w:r w:rsidR="002F38B7">
        <w:rPr>
          <w:rFonts w:ascii="Arial" w:hAnsi="Arial"/>
          <w:sz w:val="24"/>
        </w:rPr>
        <w:t xml:space="preserve">pension administration </w:t>
      </w:r>
      <w:r w:rsidR="005C460B">
        <w:rPr>
          <w:rFonts w:ascii="Arial" w:hAnsi="Arial"/>
          <w:sz w:val="24"/>
        </w:rPr>
        <w:t>system.</w:t>
      </w:r>
    </w:p>
    <w:p w:rsidR="00C8186A" w:rsidRDefault="00C8186A" w:rsidP="00C8186A">
      <w:pPr>
        <w:pStyle w:val="BodyText"/>
        <w:numPr>
          <w:ilvl w:val="1"/>
          <w:numId w:val="1"/>
        </w:numPr>
        <w:rPr>
          <w:rFonts w:ascii="Arial" w:hAnsi="Arial"/>
          <w:sz w:val="24"/>
        </w:rPr>
      </w:pPr>
      <w:r>
        <w:rPr>
          <w:rFonts w:ascii="Arial" w:hAnsi="Arial"/>
          <w:sz w:val="24"/>
        </w:rPr>
        <w:t xml:space="preserve">In addition, we reviewed </w:t>
      </w:r>
      <w:r w:rsidR="00231AD8">
        <w:rPr>
          <w:rFonts w:ascii="Arial" w:hAnsi="Arial"/>
          <w:sz w:val="24"/>
        </w:rPr>
        <w:t xml:space="preserve">separately </w:t>
      </w:r>
      <w:r>
        <w:rPr>
          <w:rFonts w:ascii="Arial" w:hAnsi="Arial"/>
          <w:sz w:val="24"/>
        </w:rPr>
        <w:t xml:space="preserve">the processes and procedures for administering the receipt of employer contributions </w:t>
      </w:r>
      <w:r w:rsidR="00231AD8">
        <w:rPr>
          <w:rFonts w:ascii="Arial" w:hAnsi="Arial"/>
          <w:sz w:val="24"/>
        </w:rPr>
        <w:t xml:space="preserve">to the pension fund </w:t>
      </w:r>
      <w:r>
        <w:rPr>
          <w:rFonts w:ascii="Arial" w:hAnsi="Arial"/>
          <w:sz w:val="24"/>
        </w:rPr>
        <w:t xml:space="preserve">and are able to provide substantial assurance over the arrangements operated. We have made one recommendation to ensure the prompt reconciliation of the </w:t>
      </w:r>
      <w:r w:rsidR="005C460B">
        <w:rPr>
          <w:rFonts w:ascii="Arial" w:hAnsi="Arial"/>
          <w:sz w:val="24"/>
        </w:rPr>
        <w:t xml:space="preserve">pension administration system </w:t>
      </w:r>
      <w:r>
        <w:rPr>
          <w:rFonts w:ascii="Arial" w:hAnsi="Arial"/>
          <w:sz w:val="24"/>
        </w:rPr>
        <w:t xml:space="preserve">and the general ledger. </w:t>
      </w:r>
    </w:p>
    <w:p w:rsidR="00C258A0" w:rsidRPr="00C258A0" w:rsidRDefault="00D77E7B" w:rsidP="009C5191">
      <w:pPr>
        <w:pStyle w:val="BodyText"/>
        <w:numPr>
          <w:ilvl w:val="1"/>
          <w:numId w:val="1"/>
        </w:numPr>
        <w:spacing w:before="120" w:after="120" w:line="240" w:lineRule="auto"/>
        <w:rPr>
          <w:rFonts w:ascii="Arial" w:hAnsi="Arial" w:cs="Arial"/>
          <w:sz w:val="24"/>
          <w:szCs w:val="24"/>
        </w:rPr>
      </w:pPr>
      <w:r w:rsidRPr="00C258A0">
        <w:rPr>
          <w:rFonts w:ascii="Arial" w:hAnsi="Arial"/>
          <w:sz w:val="24"/>
        </w:rPr>
        <w:t xml:space="preserve">In relation to pension fund </w:t>
      </w:r>
      <w:r w:rsidR="003B08EC" w:rsidRPr="00C258A0">
        <w:rPr>
          <w:rFonts w:ascii="Arial" w:hAnsi="Arial"/>
          <w:sz w:val="24"/>
        </w:rPr>
        <w:t xml:space="preserve">assets and investments </w:t>
      </w:r>
      <w:r w:rsidRPr="00C258A0">
        <w:rPr>
          <w:rFonts w:ascii="Arial" w:hAnsi="Arial"/>
          <w:sz w:val="24"/>
        </w:rPr>
        <w:t xml:space="preserve">our work has encompassed </w:t>
      </w:r>
      <w:r w:rsidR="00C8186A" w:rsidRPr="00C258A0">
        <w:rPr>
          <w:rFonts w:ascii="Arial" w:hAnsi="Arial"/>
          <w:sz w:val="24"/>
        </w:rPr>
        <w:t>three re</w:t>
      </w:r>
      <w:r w:rsidRPr="00C258A0">
        <w:rPr>
          <w:rFonts w:ascii="Arial" w:hAnsi="Arial"/>
          <w:sz w:val="24"/>
        </w:rPr>
        <w:t xml:space="preserve">views consisting of the </w:t>
      </w:r>
      <w:r w:rsidR="00231AD8" w:rsidRPr="00C258A0">
        <w:rPr>
          <w:rFonts w:ascii="Arial" w:hAnsi="Arial"/>
          <w:sz w:val="24"/>
        </w:rPr>
        <w:t xml:space="preserve">investment strategy, the general ledger </w:t>
      </w:r>
      <w:r w:rsidRPr="00C258A0">
        <w:rPr>
          <w:rFonts w:ascii="Arial" w:hAnsi="Arial"/>
          <w:sz w:val="24"/>
        </w:rPr>
        <w:t xml:space="preserve">and third party assurance reports produced for </w:t>
      </w:r>
      <w:r w:rsidR="005C460B">
        <w:rPr>
          <w:rFonts w:ascii="Arial" w:hAnsi="Arial"/>
          <w:sz w:val="24"/>
        </w:rPr>
        <w:t xml:space="preserve">a sample </w:t>
      </w:r>
      <w:r w:rsidRPr="00C258A0">
        <w:rPr>
          <w:rFonts w:ascii="Arial" w:hAnsi="Arial"/>
          <w:sz w:val="24"/>
        </w:rPr>
        <w:t>of the investment managers.</w:t>
      </w:r>
      <w:r w:rsidR="00231AD8" w:rsidRPr="00C258A0">
        <w:rPr>
          <w:rFonts w:ascii="Arial" w:hAnsi="Arial"/>
          <w:sz w:val="24"/>
        </w:rPr>
        <w:t xml:space="preserve"> </w:t>
      </w:r>
    </w:p>
    <w:p w:rsidR="002A56E8" w:rsidRPr="00C258A0" w:rsidRDefault="002A56E8" w:rsidP="009C5191">
      <w:pPr>
        <w:pStyle w:val="BodyText"/>
        <w:numPr>
          <w:ilvl w:val="1"/>
          <w:numId w:val="1"/>
        </w:numPr>
        <w:spacing w:before="120" w:after="120" w:line="240" w:lineRule="auto"/>
        <w:rPr>
          <w:rFonts w:ascii="Arial" w:hAnsi="Arial" w:cs="Arial"/>
          <w:sz w:val="24"/>
          <w:szCs w:val="24"/>
        </w:rPr>
      </w:pPr>
      <w:r w:rsidRPr="00C258A0">
        <w:rPr>
          <w:rFonts w:ascii="Arial" w:hAnsi="Arial"/>
          <w:sz w:val="24"/>
        </w:rPr>
        <w:t xml:space="preserve">Our review of the investment strategy focused </w:t>
      </w:r>
      <w:r w:rsidR="00231AD8" w:rsidRPr="00C258A0">
        <w:rPr>
          <w:rFonts w:ascii="Arial" w:hAnsi="Arial"/>
          <w:sz w:val="24"/>
        </w:rPr>
        <w:t xml:space="preserve">on ensuring that arrangements for investing funds are in accordance with the approved investment strategy and focussed </w:t>
      </w:r>
      <w:r w:rsidRPr="00C258A0">
        <w:rPr>
          <w:rFonts w:ascii="Arial" w:hAnsi="Arial"/>
          <w:sz w:val="24"/>
        </w:rPr>
        <w:t>specifically on the role of the Investment Panel in making individual investment decisions during the year rather than simply placing funds with investment managers.</w:t>
      </w:r>
    </w:p>
    <w:p w:rsidR="002A56E8" w:rsidRPr="002A56E8" w:rsidRDefault="002A56E8" w:rsidP="009C5191">
      <w:pPr>
        <w:pStyle w:val="BodyText"/>
        <w:numPr>
          <w:ilvl w:val="1"/>
          <w:numId w:val="1"/>
        </w:numPr>
        <w:spacing w:before="120" w:after="120" w:line="240" w:lineRule="auto"/>
        <w:rPr>
          <w:rFonts w:ascii="Arial" w:hAnsi="Arial" w:cs="Arial"/>
          <w:sz w:val="24"/>
          <w:szCs w:val="24"/>
        </w:rPr>
      </w:pPr>
      <w:r>
        <w:rPr>
          <w:rFonts w:ascii="Arial" w:hAnsi="Arial"/>
          <w:sz w:val="24"/>
        </w:rPr>
        <w:t xml:space="preserve">In particular we reviewed </w:t>
      </w:r>
      <w:r w:rsidR="00D626F3">
        <w:rPr>
          <w:rFonts w:ascii="Arial" w:hAnsi="Arial"/>
          <w:sz w:val="24"/>
        </w:rPr>
        <w:t xml:space="preserve">that </w:t>
      </w:r>
      <w:r>
        <w:rPr>
          <w:rFonts w:ascii="Arial" w:hAnsi="Arial"/>
          <w:sz w:val="24"/>
        </w:rPr>
        <w:t>:</w:t>
      </w:r>
    </w:p>
    <w:p w:rsidR="002A56E8" w:rsidRPr="002A56E8" w:rsidRDefault="002A56E8" w:rsidP="002A56E8">
      <w:pPr>
        <w:pStyle w:val="BodyText"/>
        <w:numPr>
          <w:ilvl w:val="3"/>
          <w:numId w:val="1"/>
        </w:numPr>
        <w:spacing w:before="120" w:after="120" w:line="240" w:lineRule="auto"/>
        <w:rPr>
          <w:rFonts w:ascii="Arial" w:hAnsi="Arial" w:cs="Arial"/>
          <w:sz w:val="24"/>
          <w:szCs w:val="24"/>
        </w:rPr>
      </w:pPr>
      <w:r>
        <w:rPr>
          <w:rFonts w:ascii="Arial" w:hAnsi="Arial"/>
          <w:sz w:val="24"/>
        </w:rPr>
        <w:t>The composition of the Investment Panel is consistent with the agreed terms of reference;</w:t>
      </w:r>
    </w:p>
    <w:p w:rsidR="002A56E8" w:rsidRPr="002A56E8" w:rsidRDefault="002A56E8" w:rsidP="002A56E8">
      <w:pPr>
        <w:pStyle w:val="BodyText"/>
        <w:numPr>
          <w:ilvl w:val="3"/>
          <w:numId w:val="1"/>
        </w:numPr>
        <w:spacing w:before="120" w:after="120" w:line="240" w:lineRule="auto"/>
        <w:rPr>
          <w:rFonts w:ascii="Arial" w:hAnsi="Arial" w:cs="Arial"/>
          <w:sz w:val="24"/>
          <w:szCs w:val="24"/>
        </w:rPr>
      </w:pPr>
      <w:r>
        <w:rPr>
          <w:rFonts w:ascii="Arial" w:hAnsi="Arial"/>
          <w:sz w:val="24"/>
        </w:rPr>
        <w:t xml:space="preserve">Investment opportunities are presented to the </w:t>
      </w:r>
      <w:r w:rsidR="003B08EC">
        <w:rPr>
          <w:rFonts w:ascii="Arial" w:hAnsi="Arial"/>
          <w:sz w:val="24"/>
        </w:rPr>
        <w:t>P</w:t>
      </w:r>
      <w:r>
        <w:rPr>
          <w:rFonts w:ascii="Arial" w:hAnsi="Arial"/>
          <w:sz w:val="24"/>
        </w:rPr>
        <w:t xml:space="preserve">anel and discussed in </w:t>
      </w:r>
      <w:r w:rsidR="00BF3D44">
        <w:rPr>
          <w:rFonts w:ascii="Arial" w:hAnsi="Arial"/>
          <w:sz w:val="24"/>
        </w:rPr>
        <w:t>detail;</w:t>
      </w:r>
    </w:p>
    <w:p w:rsidR="00E03CDB" w:rsidRPr="00E03CDB" w:rsidRDefault="002A56E8" w:rsidP="002A56E8">
      <w:pPr>
        <w:pStyle w:val="BodyText"/>
        <w:numPr>
          <w:ilvl w:val="3"/>
          <w:numId w:val="1"/>
        </w:numPr>
        <w:spacing w:before="120" w:after="120" w:line="240" w:lineRule="auto"/>
        <w:rPr>
          <w:rFonts w:ascii="Arial" w:hAnsi="Arial" w:cs="Arial"/>
          <w:sz w:val="24"/>
          <w:szCs w:val="24"/>
        </w:rPr>
      </w:pPr>
      <w:r>
        <w:rPr>
          <w:rFonts w:ascii="Arial" w:hAnsi="Arial"/>
          <w:sz w:val="24"/>
        </w:rPr>
        <w:t>A detailed due diligence report is comp</w:t>
      </w:r>
      <w:r w:rsidR="00980ABC">
        <w:rPr>
          <w:rFonts w:ascii="Arial" w:hAnsi="Arial"/>
          <w:sz w:val="24"/>
        </w:rPr>
        <w:t>il</w:t>
      </w:r>
      <w:r>
        <w:rPr>
          <w:rFonts w:ascii="Arial" w:hAnsi="Arial"/>
          <w:sz w:val="24"/>
        </w:rPr>
        <w:t xml:space="preserve">ed for each investment </w:t>
      </w:r>
      <w:r w:rsidR="00AF2695">
        <w:rPr>
          <w:rFonts w:ascii="Arial" w:hAnsi="Arial"/>
          <w:sz w:val="24"/>
        </w:rPr>
        <w:t>opportunity, signed off by the deputy county t</w:t>
      </w:r>
      <w:r>
        <w:rPr>
          <w:rFonts w:ascii="Arial" w:hAnsi="Arial"/>
          <w:sz w:val="24"/>
        </w:rPr>
        <w:t>reasurer</w:t>
      </w:r>
      <w:r w:rsidR="00E03CDB">
        <w:rPr>
          <w:rFonts w:ascii="Arial" w:hAnsi="Arial"/>
          <w:sz w:val="24"/>
        </w:rPr>
        <w:t xml:space="preserve"> and debated by the </w:t>
      </w:r>
      <w:r w:rsidR="00AF2695">
        <w:rPr>
          <w:rFonts w:ascii="Arial" w:hAnsi="Arial"/>
          <w:sz w:val="24"/>
        </w:rPr>
        <w:t>P</w:t>
      </w:r>
      <w:r w:rsidR="00E03CDB">
        <w:rPr>
          <w:rFonts w:ascii="Arial" w:hAnsi="Arial"/>
          <w:sz w:val="24"/>
        </w:rPr>
        <w:t>anel;</w:t>
      </w:r>
    </w:p>
    <w:p w:rsidR="00E03CDB" w:rsidRPr="00E03CDB" w:rsidRDefault="003B08EC" w:rsidP="002A56E8">
      <w:pPr>
        <w:pStyle w:val="BodyText"/>
        <w:numPr>
          <w:ilvl w:val="3"/>
          <w:numId w:val="1"/>
        </w:numPr>
        <w:spacing w:before="120" w:after="120" w:line="240" w:lineRule="auto"/>
        <w:rPr>
          <w:rFonts w:ascii="Arial" w:hAnsi="Arial" w:cs="Arial"/>
          <w:sz w:val="24"/>
          <w:szCs w:val="24"/>
        </w:rPr>
      </w:pPr>
      <w:r>
        <w:rPr>
          <w:rFonts w:ascii="Arial" w:hAnsi="Arial"/>
          <w:sz w:val="24"/>
        </w:rPr>
        <w:t>Only i</w:t>
      </w:r>
      <w:r w:rsidR="00E03CDB">
        <w:rPr>
          <w:rFonts w:ascii="Arial" w:hAnsi="Arial"/>
          <w:sz w:val="24"/>
        </w:rPr>
        <w:t xml:space="preserve">nvestment opportunities that </w:t>
      </w:r>
      <w:r>
        <w:rPr>
          <w:rFonts w:ascii="Arial" w:hAnsi="Arial"/>
          <w:sz w:val="24"/>
        </w:rPr>
        <w:t>re</w:t>
      </w:r>
      <w:r w:rsidR="00AF2695">
        <w:rPr>
          <w:rFonts w:ascii="Arial" w:hAnsi="Arial"/>
          <w:sz w:val="24"/>
        </w:rPr>
        <w:t>ceive unanimous support of the investment p</w:t>
      </w:r>
      <w:r>
        <w:rPr>
          <w:rFonts w:ascii="Arial" w:hAnsi="Arial"/>
          <w:sz w:val="24"/>
        </w:rPr>
        <w:t xml:space="preserve">anel professionals </w:t>
      </w:r>
      <w:r w:rsidR="00AF2695">
        <w:rPr>
          <w:rFonts w:ascii="Arial" w:hAnsi="Arial"/>
          <w:sz w:val="24"/>
        </w:rPr>
        <w:t>are approved by the treasurer to the f</w:t>
      </w:r>
      <w:r w:rsidR="00E03CDB">
        <w:rPr>
          <w:rFonts w:ascii="Arial" w:hAnsi="Arial"/>
          <w:sz w:val="24"/>
        </w:rPr>
        <w:t>und; and</w:t>
      </w:r>
    </w:p>
    <w:p w:rsidR="00D626F3" w:rsidRPr="00D626F3" w:rsidRDefault="00E03CDB" w:rsidP="00D626F3">
      <w:pPr>
        <w:pStyle w:val="BodyText"/>
        <w:numPr>
          <w:ilvl w:val="3"/>
          <w:numId w:val="1"/>
        </w:numPr>
        <w:spacing w:before="120" w:after="120" w:line="240" w:lineRule="auto"/>
        <w:rPr>
          <w:rFonts w:ascii="Arial" w:hAnsi="Arial" w:cs="Arial"/>
          <w:sz w:val="24"/>
          <w:szCs w:val="24"/>
        </w:rPr>
      </w:pPr>
      <w:r>
        <w:rPr>
          <w:rFonts w:ascii="Arial" w:hAnsi="Arial"/>
          <w:sz w:val="24"/>
        </w:rPr>
        <w:t xml:space="preserve">Decisions to invest, and the reasons for doing so, are clearly presented </w:t>
      </w:r>
      <w:r w:rsidR="00231AD8">
        <w:rPr>
          <w:rFonts w:ascii="Arial" w:hAnsi="Arial"/>
          <w:sz w:val="24"/>
        </w:rPr>
        <w:t xml:space="preserve">to </w:t>
      </w:r>
      <w:r>
        <w:rPr>
          <w:rFonts w:ascii="Arial" w:hAnsi="Arial"/>
          <w:sz w:val="24"/>
        </w:rPr>
        <w:t>the Pension Fund Committee.</w:t>
      </w:r>
      <w:r w:rsidR="002A56E8">
        <w:rPr>
          <w:rFonts w:ascii="Arial" w:hAnsi="Arial"/>
          <w:sz w:val="24"/>
        </w:rPr>
        <w:t xml:space="preserve"> </w:t>
      </w:r>
    </w:p>
    <w:p w:rsidR="00231AD8" w:rsidRDefault="00D626F3" w:rsidP="00386CFC">
      <w:pPr>
        <w:pStyle w:val="BodyText"/>
        <w:numPr>
          <w:ilvl w:val="1"/>
          <w:numId w:val="1"/>
        </w:numPr>
        <w:spacing w:before="120" w:after="120" w:line="240" w:lineRule="auto"/>
        <w:rPr>
          <w:rFonts w:ascii="Arial" w:hAnsi="Arial" w:cs="Arial"/>
          <w:sz w:val="24"/>
          <w:szCs w:val="24"/>
        </w:rPr>
      </w:pPr>
      <w:r w:rsidRPr="00231AD8">
        <w:rPr>
          <w:rFonts w:ascii="Arial" w:hAnsi="Arial" w:cs="Arial"/>
          <w:sz w:val="24"/>
          <w:szCs w:val="24"/>
        </w:rPr>
        <w:lastRenderedPageBreak/>
        <w:t xml:space="preserve">We are able to provide </w:t>
      </w:r>
      <w:r w:rsidR="00231AD8" w:rsidRPr="00231AD8">
        <w:rPr>
          <w:rFonts w:ascii="Arial" w:hAnsi="Arial" w:cs="Arial"/>
          <w:sz w:val="24"/>
          <w:szCs w:val="24"/>
        </w:rPr>
        <w:t xml:space="preserve">full </w:t>
      </w:r>
      <w:r w:rsidRPr="00231AD8">
        <w:rPr>
          <w:rFonts w:ascii="Arial" w:hAnsi="Arial" w:cs="Arial"/>
          <w:sz w:val="24"/>
          <w:szCs w:val="24"/>
        </w:rPr>
        <w:t xml:space="preserve">assurance over the systems operated. There were no areas identified that would have a major impact on the achievement of the </w:t>
      </w:r>
      <w:r w:rsidR="00770B1A" w:rsidRPr="00231AD8">
        <w:rPr>
          <w:rFonts w:ascii="Arial" w:hAnsi="Arial" w:cs="Arial"/>
          <w:sz w:val="24"/>
          <w:szCs w:val="24"/>
        </w:rPr>
        <w:t>p</w:t>
      </w:r>
      <w:r w:rsidRPr="00231AD8">
        <w:rPr>
          <w:rFonts w:ascii="Arial" w:hAnsi="Arial" w:cs="Arial"/>
          <w:sz w:val="24"/>
          <w:szCs w:val="24"/>
        </w:rPr>
        <w:t xml:space="preserve">ension </w:t>
      </w:r>
      <w:r w:rsidR="00770B1A" w:rsidRPr="00231AD8">
        <w:rPr>
          <w:rFonts w:ascii="Arial" w:hAnsi="Arial" w:cs="Arial"/>
          <w:sz w:val="24"/>
          <w:szCs w:val="24"/>
        </w:rPr>
        <w:t>f</w:t>
      </w:r>
      <w:r w:rsidRPr="00231AD8">
        <w:rPr>
          <w:rFonts w:ascii="Arial" w:hAnsi="Arial" w:cs="Arial"/>
          <w:sz w:val="24"/>
          <w:szCs w:val="24"/>
        </w:rPr>
        <w:t>und's objectives</w:t>
      </w:r>
      <w:r w:rsidR="005C460B">
        <w:rPr>
          <w:rFonts w:ascii="Arial" w:hAnsi="Arial" w:cs="Arial"/>
          <w:sz w:val="24"/>
          <w:szCs w:val="24"/>
        </w:rPr>
        <w:t>, and the controls were consistently applied</w:t>
      </w:r>
      <w:r w:rsidRPr="00231AD8">
        <w:rPr>
          <w:rFonts w:ascii="Arial" w:hAnsi="Arial" w:cs="Arial"/>
          <w:sz w:val="24"/>
          <w:szCs w:val="24"/>
        </w:rPr>
        <w:t xml:space="preserve">. </w:t>
      </w:r>
    </w:p>
    <w:p w:rsidR="00C258A0" w:rsidRDefault="00C258A0" w:rsidP="00C258A0">
      <w:pPr>
        <w:pStyle w:val="BodyText"/>
        <w:numPr>
          <w:ilvl w:val="1"/>
          <w:numId w:val="1"/>
        </w:numPr>
        <w:spacing w:before="120" w:after="120" w:line="240" w:lineRule="auto"/>
        <w:rPr>
          <w:rFonts w:ascii="Arial" w:hAnsi="Arial" w:cs="Arial"/>
          <w:sz w:val="24"/>
          <w:szCs w:val="24"/>
        </w:rPr>
      </w:pPr>
      <w:r>
        <w:rPr>
          <w:rFonts w:ascii="Arial" w:hAnsi="Arial" w:cs="Arial"/>
          <w:sz w:val="24"/>
          <w:szCs w:val="24"/>
        </w:rPr>
        <w:t>We have reviewed the accounting arrangements operated throu</w:t>
      </w:r>
      <w:r w:rsidR="00AF2695">
        <w:rPr>
          <w:rFonts w:ascii="Arial" w:hAnsi="Arial" w:cs="Arial"/>
          <w:sz w:val="24"/>
          <w:szCs w:val="24"/>
        </w:rPr>
        <w:t>gh the  pension f</w:t>
      </w:r>
      <w:r>
        <w:rPr>
          <w:rFonts w:ascii="Arial" w:hAnsi="Arial" w:cs="Arial"/>
          <w:sz w:val="24"/>
          <w:szCs w:val="24"/>
        </w:rPr>
        <w:t xml:space="preserve">und general ledger </w:t>
      </w:r>
      <w:r w:rsidR="001C2489">
        <w:rPr>
          <w:rFonts w:ascii="Arial" w:hAnsi="Arial" w:cs="Arial"/>
          <w:sz w:val="24"/>
          <w:szCs w:val="24"/>
        </w:rPr>
        <w:t>and have</w:t>
      </w:r>
      <w:r>
        <w:rPr>
          <w:rFonts w:ascii="Arial" w:hAnsi="Arial" w:cs="Arial"/>
          <w:sz w:val="24"/>
          <w:szCs w:val="24"/>
        </w:rPr>
        <w:t xml:space="preserve"> provided a substantial assurance opinion, indicating that the procedures are adequately designed and operating effectively in the majority of areas reviewed. </w:t>
      </w:r>
    </w:p>
    <w:p w:rsidR="00C258A0" w:rsidRPr="008C0552" w:rsidRDefault="00C258A0" w:rsidP="00C258A0">
      <w:pPr>
        <w:pStyle w:val="BodyText"/>
        <w:numPr>
          <w:ilvl w:val="1"/>
          <w:numId w:val="1"/>
        </w:numPr>
        <w:spacing w:before="120" w:after="120" w:line="240" w:lineRule="auto"/>
        <w:rPr>
          <w:rFonts w:ascii="Arial" w:hAnsi="Arial" w:cs="Arial"/>
          <w:sz w:val="24"/>
          <w:szCs w:val="24"/>
        </w:rPr>
      </w:pPr>
      <w:r>
        <w:rPr>
          <w:rFonts w:ascii="Arial" w:hAnsi="Arial" w:cs="Arial"/>
          <w:sz w:val="24"/>
          <w:szCs w:val="24"/>
        </w:rPr>
        <w:t xml:space="preserve">We have made two recommendations to further improve the control arrangements by ensuring that consistent information is included on accounting journals and </w:t>
      </w:r>
      <w:r w:rsidR="005C460B">
        <w:rPr>
          <w:rFonts w:ascii="Arial" w:hAnsi="Arial" w:cs="Arial"/>
          <w:sz w:val="24"/>
          <w:szCs w:val="24"/>
        </w:rPr>
        <w:t xml:space="preserve">ensuring </w:t>
      </w:r>
      <w:r>
        <w:rPr>
          <w:rFonts w:ascii="Arial" w:hAnsi="Arial" w:cs="Arial"/>
          <w:sz w:val="24"/>
          <w:szCs w:val="24"/>
        </w:rPr>
        <w:t>changes to access permissions are undertaken promptly for employees who have either left the county council or changed their role.</w:t>
      </w:r>
    </w:p>
    <w:p w:rsidR="00D77E7B" w:rsidRPr="00E9034A" w:rsidRDefault="00D77E7B" w:rsidP="00C91F2D">
      <w:pPr>
        <w:pStyle w:val="BodyText"/>
        <w:numPr>
          <w:ilvl w:val="1"/>
          <w:numId w:val="1"/>
        </w:numPr>
        <w:rPr>
          <w:rFonts w:ascii="Arial" w:hAnsi="Arial"/>
          <w:b/>
          <w:i/>
          <w:sz w:val="24"/>
        </w:rPr>
      </w:pPr>
      <w:r w:rsidRPr="00047BC1">
        <w:rPr>
          <w:rFonts w:ascii="Arial" w:hAnsi="Arial" w:cs="Arial"/>
          <w:sz w:val="24"/>
          <w:szCs w:val="24"/>
        </w:rPr>
        <w:t xml:space="preserve">Our review of the third party assurance reports produced for </w:t>
      </w:r>
      <w:r w:rsidR="00C258A0">
        <w:rPr>
          <w:rFonts w:ascii="Arial" w:hAnsi="Arial" w:cs="Arial"/>
          <w:sz w:val="24"/>
          <w:szCs w:val="24"/>
        </w:rPr>
        <w:t xml:space="preserve">a sample </w:t>
      </w:r>
      <w:r w:rsidRPr="00047BC1">
        <w:rPr>
          <w:rFonts w:ascii="Arial" w:hAnsi="Arial" w:cs="Arial"/>
          <w:sz w:val="24"/>
          <w:szCs w:val="24"/>
        </w:rPr>
        <w:t xml:space="preserve"> fund manager's system</w:t>
      </w:r>
      <w:r w:rsidRPr="009C5191">
        <w:rPr>
          <w:rFonts w:ascii="Arial" w:hAnsi="Arial"/>
          <w:sz w:val="24"/>
        </w:rPr>
        <w:t xml:space="preserve">s </w:t>
      </w:r>
      <w:r>
        <w:rPr>
          <w:rFonts w:ascii="Arial" w:hAnsi="Arial"/>
          <w:sz w:val="24"/>
        </w:rPr>
        <w:t>enabled us</w:t>
      </w:r>
      <w:r w:rsidRPr="009C5191">
        <w:rPr>
          <w:rFonts w:ascii="Arial" w:hAnsi="Arial"/>
          <w:sz w:val="24"/>
        </w:rPr>
        <w:t xml:space="preserve"> to </w:t>
      </w:r>
      <w:r w:rsidR="00C258A0">
        <w:rPr>
          <w:rFonts w:ascii="Arial" w:hAnsi="Arial"/>
          <w:sz w:val="24"/>
        </w:rPr>
        <w:t>conclude that reliance can be placed on the control statements which did not identify any significant control issues.</w:t>
      </w:r>
      <w:r>
        <w:rPr>
          <w:rFonts w:ascii="Arial" w:hAnsi="Arial"/>
          <w:sz w:val="24"/>
        </w:rPr>
        <w:t xml:space="preserve"> </w:t>
      </w:r>
    </w:p>
    <w:p w:rsidR="00E9034A" w:rsidRPr="00C91F2D" w:rsidRDefault="00E9034A" w:rsidP="00C91F2D">
      <w:pPr>
        <w:pStyle w:val="BodyText"/>
        <w:numPr>
          <w:ilvl w:val="1"/>
          <w:numId w:val="1"/>
        </w:numPr>
        <w:rPr>
          <w:rFonts w:ascii="Arial" w:hAnsi="Arial"/>
          <w:b/>
          <w:i/>
          <w:sz w:val="24"/>
        </w:rPr>
      </w:pPr>
      <w:r>
        <w:rPr>
          <w:rFonts w:ascii="Arial" w:hAnsi="Arial"/>
          <w:sz w:val="24"/>
        </w:rPr>
        <w:t xml:space="preserve">The </w:t>
      </w:r>
      <w:r w:rsidR="00980ABC">
        <w:rPr>
          <w:rFonts w:ascii="Arial" w:hAnsi="Arial"/>
          <w:sz w:val="24"/>
        </w:rPr>
        <w:t>re-</w:t>
      </w:r>
      <w:r>
        <w:rPr>
          <w:rFonts w:ascii="Arial" w:hAnsi="Arial"/>
          <w:sz w:val="24"/>
        </w:rPr>
        <w:t>tendering of the fund's property management contract has been delayed due to other priorities</w:t>
      </w:r>
      <w:r w:rsidR="00C66195">
        <w:rPr>
          <w:rFonts w:ascii="Arial" w:hAnsi="Arial"/>
          <w:sz w:val="24"/>
        </w:rPr>
        <w:t xml:space="preserve"> during the </w:t>
      </w:r>
      <w:r w:rsidR="001A0118">
        <w:rPr>
          <w:rFonts w:ascii="Arial" w:hAnsi="Arial"/>
          <w:sz w:val="24"/>
        </w:rPr>
        <w:t>year;</w:t>
      </w:r>
      <w:r>
        <w:rPr>
          <w:rFonts w:ascii="Arial" w:hAnsi="Arial"/>
          <w:sz w:val="24"/>
        </w:rPr>
        <w:t xml:space="preserve"> consequently we were not able to undertake the intended review of the procurement arrangements</w:t>
      </w:r>
      <w:r w:rsidR="00386CFC">
        <w:rPr>
          <w:rFonts w:ascii="Arial" w:hAnsi="Arial"/>
          <w:sz w:val="24"/>
        </w:rPr>
        <w:t xml:space="preserve"> for this contract.</w:t>
      </w:r>
      <w:r w:rsidR="00C258A0">
        <w:rPr>
          <w:rFonts w:ascii="Arial" w:hAnsi="Arial"/>
          <w:sz w:val="24"/>
        </w:rPr>
        <w:t xml:space="preserve"> </w:t>
      </w:r>
      <w:r w:rsidR="005C460B">
        <w:rPr>
          <w:rFonts w:ascii="Arial" w:hAnsi="Arial"/>
          <w:sz w:val="24"/>
        </w:rPr>
        <w:t xml:space="preserve">We </w:t>
      </w:r>
      <w:r w:rsidR="00276B96">
        <w:rPr>
          <w:rFonts w:ascii="Arial" w:hAnsi="Arial"/>
          <w:sz w:val="24"/>
        </w:rPr>
        <w:t xml:space="preserve">are </w:t>
      </w:r>
      <w:r w:rsidR="005C460B">
        <w:rPr>
          <w:rFonts w:ascii="Arial" w:hAnsi="Arial"/>
          <w:sz w:val="24"/>
        </w:rPr>
        <w:t>propos</w:t>
      </w:r>
      <w:r w:rsidR="00276B96">
        <w:rPr>
          <w:rFonts w:ascii="Arial" w:hAnsi="Arial"/>
          <w:sz w:val="24"/>
        </w:rPr>
        <w:t>ing</w:t>
      </w:r>
      <w:r w:rsidR="005C460B">
        <w:rPr>
          <w:rFonts w:ascii="Arial" w:hAnsi="Arial"/>
          <w:sz w:val="24"/>
        </w:rPr>
        <w:t xml:space="preserve"> to </w:t>
      </w:r>
      <w:r w:rsidR="00C258A0">
        <w:rPr>
          <w:rFonts w:ascii="Arial" w:hAnsi="Arial"/>
          <w:sz w:val="24"/>
        </w:rPr>
        <w:t>include</w:t>
      </w:r>
      <w:r w:rsidR="005C460B">
        <w:rPr>
          <w:rFonts w:ascii="Arial" w:hAnsi="Arial"/>
          <w:sz w:val="24"/>
        </w:rPr>
        <w:t xml:space="preserve"> this review </w:t>
      </w:r>
      <w:r w:rsidR="00C258A0">
        <w:rPr>
          <w:rFonts w:ascii="Arial" w:hAnsi="Arial"/>
          <w:sz w:val="24"/>
        </w:rPr>
        <w:t xml:space="preserve">in </w:t>
      </w:r>
      <w:r w:rsidR="00276B96">
        <w:rPr>
          <w:rFonts w:ascii="Arial" w:hAnsi="Arial"/>
          <w:sz w:val="24"/>
        </w:rPr>
        <w:t xml:space="preserve">the </w:t>
      </w:r>
      <w:r w:rsidR="00C258A0">
        <w:rPr>
          <w:rFonts w:ascii="Arial" w:hAnsi="Arial"/>
          <w:sz w:val="24"/>
        </w:rPr>
        <w:t>2014/15 internal audit plan</w:t>
      </w:r>
      <w:r w:rsidR="005C460B">
        <w:rPr>
          <w:rFonts w:ascii="Arial" w:hAnsi="Arial"/>
          <w:sz w:val="24"/>
        </w:rPr>
        <w:t xml:space="preserve"> (Section 4)</w:t>
      </w:r>
      <w:r w:rsidR="00C258A0">
        <w:rPr>
          <w:rFonts w:ascii="Arial" w:hAnsi="Arial"/>
          <w:sz w:val="24"/>
        </w:rPr>
        <w:t>.</w:t>
      </w:r>
    </w:p>
    <w:p w:rsidR="00D77E7B" w:rsidRDefault="00D77E7B">
      <w:pPr>
        <w:pStyle w:val="BodyText"/>
        <w:ind w:firstLine="851"/>
        <w:rPr>
          <w:rFonts w:ascii="Arial" w:hAnsi="Arial"/>
          <w:b/>
          <w:i/>
          <w:sz w:val="24"/>
        </w:rPr>
      </w:pPr>
      <w:r w:rsidRPr="00C91F2D">
        <w:rPr>
          <w:rFonts w:ascii="Arial" w:hAnsi="Arial"/>
          <w:b/>
          <w:i/>
          <w:sz w:val="24"/>
        </w:rPr>
        <w:t>Fraud/ special investigations</w:t>
      </w:r>
    </w:p>
    <w:p w:rsidR="00D77E7B" w:rsidRPr="00016F8E" w:rsidRDefault="00D77E7B" w:rsidP="009424D4">
      <w:pPr>
        <w:pStyle w:val="BodyText"/>
        <w:numPr>
          <w:ilvl w:val="1"/>
          <w:numId w:val="1"/>
        </w:numPr>
        <w:rPr>
          <w:rFonts w:ascii="Arial" w:hAnsi="Arial" w:cs="Arial"/>
          <w:sz w:val="24"/>
          <w:szCs w:val="24"/>
        </w:rPr>
      </w:pPr>
      <w:r>
        <w:rPr>
          <w:rFonts w:ascii="Arial" w:hAnsi="Arial"/>
          <w:sz w:val="24"/>
        </w:rPr>
        <w:t>There were no days used in the investigation of suspected financial irregularities in relation to the pension fund.</w:t>
      </w:r>
    </w:p>
    <w:p w:rsidR="00DB0463" w:rsidRPr="00E9034A" w:rsidRDefault="001971A6" w:rsidP="00BF3D44">
      <w:pPr>
        <w:pStyle w:val="BodyText"/>
        <w:ind w:firstLine="720"/>
        <w:rPr>
          <w:rFonts w:ascii="Arial" w:hAnsi="Arial" w:cs="Arial"/>
          <w:b/>
          <w:i/>
          <w:sz w:val="24"/>
          <w:szCs w:val="24"/>
        </w:rPr>
      </w:pPr>
      <w:r w:rsidRPr="00E9034A">
        <w:rPr>
          <w:rFonts w:ascii="Arial" w:hAnsi="Arial"/>
          <w:b/>
          <w:i/>
          <w:sz w:val="24"/>
        </w:rPr>
        <w:t>National Fraud Initiative (NFI)</w:t>
      </w:r>
    </w:p>
    <w:p w:rsidR="00DB0463" w:rsidRDefault="000B4BE4" w:rsidP="009424D4">
      <w:pPr>
        <w:pStyle w:val="BodyText"/>
        <w:numPr>
          <w:ilvl w:val="1"/>
          <w:numId w:val="1"/>
        </w:numPr>
        <w:rPr>
          <w:rFonts w:ascii="Arial" w:hAnsi="Arial" w:cs="Arial"/>
          <w:sz w:val="24"/>
          <w:szCs w:val="24"/>
        </w:rPr>
      </w:pPr>
      <w:r w:rsidRPr="00C258A0">
        <w:rPr>
          <w:rFonts w:ascii="Arial" w:hAnsi="Arial" w:cs="Arial"/>
          <w:sz w:val="24"/>
          <w:szCs w:val="24"/>
        </w:rPr>
        <w:t xml:space="preserve">In addition to the planned audit reviews </w:t>
      </w:r>
      <w:r w:rsidR="004927C4" w:rsidRPr="00C258A0">
        <w:rPr>
          <w:rFonts w:ascii="Arial" w:hAnsi="Arial" w:cs="Arial"/>
          <w:sz w:val="24"/>
          <w:szCs w:val="24"/>
        </w:rPr>
        <w:t>we have also undertaken work re</w:t>
      </w:r>
      <w:r w:rsidRPr="00C258A0">
        <w:rPr>
          <w:rFonts w:ascii="Arial" w:hAnsi="Arial" w:cs="Arial"/>
          <w:sz w:val="24"/>
          <w:szCs w:val="24"/>
        </w:rPr>
        <w:t>l</w:t>
      </w:r>
      <w:r w:rsidR="004927C4" w:rsidRPr="00C258A0">
        <w:rPr>
          <w:rFonts w:ascii="Arial" w:hAnsi="Arial" w:cs="Arial"/>
          <w:sz w:val="24"/>
          <w:szCs w:val="24"/>
        </w:rPr>
        <w:t>a</w:t>
      </w:r>
      <w:r w:rsidRPr="00C258A0">
        <w:rPr>
          <w:rFonts w:ascii="Arial" w:hAnsi="Arial" w:cs="Arial"/>
          <w:sz w:val="24"/>
          <w:szCs w:val="24"/>
        </w:rPr>
        <w:t xml:space="preserve">ting to the National Fraud Initiative (NFI). </w:t>
      </w:r>
      <w:r w:rsidR="00BA7A38" w:rsidRPr="00C258A0">
        <w:rPr>
          <w:rFonts w:ascii="Arial" w:hAnsi="Arial" w:cs="Arial"/>
          <w:sz w:val="24"/>
          <w:szCs w:val="24"/>
        </w:rPr>
        <w:t>As part of the county council's duty to protect public funds, the Audit Commission requires all local authorities to participate in the N</w:t>
      </w:r>
      <w:r w:rsidRPr="00C258A0">
        <w:rPr>
          <w:rFonts w:ascii="Arial" w:hAnsi="Arial" w:cs="Arial"/>
          <w:sz w:val="24"/>
          <w:szCs w:val="24"/>
        </w:rPr>
        <w:t xml:space="preserve">FI. </w:t>
      </w:r>
      <w:r w:rsidR="00BA7A38" w:rsidRPr="00C258A0">
        <w:rPr>
          <w:rFonts w:ascii="Arial" w:hAnsi="Arial" w:cs="Arial"/>
          <w:sz w:val="24"/>
          <w:szCs w:val="24"/>
        </w:rPr>
        <w:t xml:space="preserve"> </w:t>
      </w:r>
      <w:r w:rsidR="00C258A0" w:rsidRPr="00C258A0">
        <w:rPr>
          <w:rFonts w:ascii="Arial" w:hAnsi="Arial" w:cs="Arial"/>
          <w:sz w:val="24"/>
          <w:szCs w:val="24"/>
        </w:rPr>
        <w:t xml:space="preserve">This </w:t>
      </w:r>
      <w:r w:rsidR="005C460B">
        <w:rPr>
          <w:rFonts w:ascii="Arial" w:hAnsi="Arial" w:cs="Arial"/>
          <w:sz w:val="24"/>
          <w:szCs w:val="24"/>
        </w:rPr>
        <w:t xml:space="preserve">exercise </w:t>
      </w:r>
      <w:r w:rsidR="00C258A0" w:rsidRPr="00C258A0">
        <w:rPr>
          <w:rFonts w:ascii="Arial" w:hAnsi="Arial" w:cs="Arial"/>
          <w:sz w:val="24"/>
          <w:szCs w:val="24"/>
        </w:rPr>
        <w:t xml:space="preserve">has recently been undertaken on </w:t>
      </w:r>
      <w:r w:rsidR="00276B96">
        <w:rPr>
          <w:rFonts w:ascii="Arial" w:hAnsi="Arial" w:cs="Arial"/>
          <w:sz w:val="24"/>
          <w:szCs w:val="24"/>
        </w:rPr>
        <w:t xml:space="preserve">a six monthly </w:t>
      </w:r>
      <w:r w:rsidR="00C258A0" w:rsidRPr="00C258A0">
        <w:rPr>
          <w:rFonts w:ascii="Arial" w:hAnsi="Arial" w:cs="Arial"/>
          <w:sz w:val="24"/>
          <w:szCs w:val="24"/>
        </w:rPr>
        <w:t>basis, in order that any overpayments can be indentified and recovered at the earliest opportunity.</w:t>
      </w:r>
      <w:r w:rsidR="00C258A0">
        <w:rPr>
          <w:rFonts w:ascii="Arial" w:hAnsi="Arial" w:cs="Arial"/>
          <w:sz w:val="24"/>
          <w:szCs w:val="24"/>
        </w:rPr>
        <w:t xml:space="preserve"> </w:t>
      </w:r>
      <w:r w:rsidRPr="00C258A0">
        <w:rPr>
          <w:rFonts w:ascii="Arial" w:hAnsi="Arial" w:cs="Arial"/>
          <w:sz w:val="24"/>
          <w:szCs w:val="24"/>
        </w:rPr>
        <w:t>One of the tests included relates to identifying pension c</w:t>
      </w:r>
      <w:r w:rsidR="00BA7A38" w:rsidRPr="00C258A0">
        <w:rPr>
          <w:rFonts w:ascii="Arial" w:hAnsi="Arial" w:cs="Arial"/>
          <w:sz w:val="24"/>
          <w:szCs w:val="24"/>
        </w:rPr>
        <w:t>laimants that may have died or may have additional employment affecting their pension.</w:t>
      </w:r>
    </w:p>
    <w:p w:rsidR="00C258A0" w:rsidRDefault="00C258A0" w:rsidP="006A3106">
      <w:pPr>
        <w:pStyle w:val="BodyText"/>
        <w:numPr>
          <w:ilvl w:val="1"/>
          <w:numId w:val="1"/>
        </w:numPr>
        <w:rPr>
          <w:rFonts w:ascii="Arial" w:hAnsi="Arial" w:cs="Arial"/>
          <w:sz w:val="24"/>
          <w:szCs w:val="24"/>
        </w:rPr>
      </w:pPr>
      <w:r w:rsidRPr="00C258A0">
        <w:rPr>
          <w:rFonts w:ascii="Arial" w:hAnsi="Arial" w:cs="Arial"/>
          <w:sz w:val="24"/>
          <w:szCs w:val="24"/>
        </w:rPr>
        <w:t xml:space="preserve">The </w:t>
      </w:r>
      <w:r>
        <w:rPr>
          <w:rFonts w:ascii="Arial" w:hAnsi="Arial" w:cs="Arial"/>
          <w:sz w:val="24"/>
          <w:szCs w:val="24"/>
        </w:rPr>
        <w:t xml:space="preserve">current </w:t>
      </w:r>
      <w:r w:rsidR="000B4BE4" w:rsidRPr="00C258A0">
        <w:rPr>
          <w:rFonts w:ascii="Arial" w:hAnsi="Arial" w:cs="Arial"/>
          <w:sz w:val="24"/>
          <w:szCs w:val="24"/>
        </w:rPr>
        <w:t xml:space="preserve">NFI exercise </w:t>
      </w:r>
      <w:r w:rsidR="001A0118" w:rsidRPr="00C258A0">
        <w:rPr>
          <w:rFonts w:ascii="Arial" w:hAnsi="Arial" w:cs="Arial"/>
          <w:sz w:val="24"/>
          <w:szCs w:val="24"/>
        </w:rPr>
        <w:t>identified</w:t>
      </w:r>
      <w:r w:rsidR="000B4BE4" w:rsidRPr="00C258A0">
        <w:rPr>
          <w:rFonts w:ascii="Arial" w:hAnsi="Arial" w:cs="Arial"/>
          <w:sz w:val="24"/>
          <w:szCs w:val="24"/>
        </w:rPr>
        <w:t xml:space="preserve"> </w:t>
      </w:r>
      <w:r w:rsidR="005C460B">
        <w:rPr>
          <w:rFonts w:ascii="Arial" w:hAnsi="Arial" w:cs="Arial"/>
          <w:sz w:val="24"/>
          <w:szCs w:val="24"/>
        </w:rPr>
        <w:t>2,060</w:t>
      </w:r>
      <w:r w:rsidR="000B4BE4" w:rsidRPr="00C258A0">
        <w:rPr>
          <w:rFonts w:ascii="Arial" w:hAnsi="Arial" w:cs="Arial"/>
          <w:sz w:val="24"/>
          <w:szCs w:val="24"/>
        </w:rPr>
        <w:t xml:space="preserve"> matches for </w:t>
      </w:r>
      <w:r w:rsidR="005D5614" w:rsidRPr="00C258A0">
        <w:rPr>
          <w:rFonts w:ascii="Arial" w:hAnsi="Arial" w:cs="Arial"/>
          <w:sz w:val="24"/>
          <w:szCs w:val="24"/>
        </w:rPr>
        <w:t>Lancashire</w:t>
      </w:r>
      <w:r>
        <w:rPr>
          <w:rFonts w:ascii="Arial" w:hAnsi="Arial" w:cs="Arial"/>
          <w:sz w:val="24"/>
          <w:szCs w:val="24"/>
        </w:rPr>
        <w:t>.</w:t>
      </w:r>
      <w:r w:rsidR="00BA7A38" w:rsidRPr="00C258A0">
        <w:rPr>
          <w:rFonts w:ascii="Arial" w:hAnsi="Arial" w:cs="Arial"/>
          <w:sz w:val="24"/>
          <w:szCs w:val="24"/>
        </w:rPr>
        <w:t xml:space="preserve"> Y</w:t>
      </w:r>
      <w:r w:rsidR="005D5614" w:rsidRPr="00C258A0">
        <w:rPr>
          <w:rFonts w:ascii="Arial" w:hAnsi="Arial" w:cs="Arial"/>
          <w:sz w:val="24"/>
          <w:szCs w:val="24"/>
        </w:rPr>
        <w:t>our Pension Service (Y</w:t>
      </w:r>
      <w:r w:rsidR="00BA7A38" w:rsidRPr="00C258A0">
        <w:rPr>
          <w:rFonts w:ascii="Arial" w:hAnsi="Arial" w:cs="Arial"/>
          <w:sz w:val="24"/>
          <w:szCs w:val="24"/>
        </w:rPr>
        <w:t>PS</w:t>
      </w:r>
      <w:r w:rsidR="005D5614" w:rsidRPr="00C258A0">
        <w:rPr>
          <w:rFonts w:ascii="Arial" w:hAnsi="Arial" w:cs="Arial"/>
          <w:sz w:val="24"/>
          <w:szCs w:val="24"/>
        </w:rPr>
        <w:t>)</w:t>
      </w:r>
      <w:r w:rsidR="00BA7A38" w:rsidRPr="00C258A0">
        <w:rPr>
          <w:rFonts w:ascii="Arial" w:hAnsi="Arial" w:cs="Arial"/>
          <w:sz w:val="24"/>
          <w:szCs w:val="24"/>
        </w:rPr>
        <w:t xml:space="preserve"> has processed approximately </w:t>
      </w:r>
      <w:r w:rsidR="005C460B">
        <w:rPr>
          <w:rFonts w:ascii="Arial" w:hAnsi="Arial" w:cs="Arial"/>
          <w:sz w:val="24"/>
          <w:szCs w:val="24"/>
        </w:rPr>
        <w:t>96</w:t>
      </w:r>
      <w:r w:rsidRPr="00C258A0">
        <w:rPr>
          <w:rFonts w:ascii="Arial" w:hAnsi="Arial" w:cs="Arial"/>
          <w:sz w:val="24"/>
          <w:szCs w:val="24"/>
        </w:rPr>
        <w:t xml:space="preserve"> % </w:t>
      </w:r>
      <w:r w:rsidR="00BA7A38" w:rsidRPr="00C258A0">
        <w:rPr>
          <w:rFonts w:ascii="Arial" w:hAnsi="Arial" w:cs="Arial"/>
          <w:sz w:val="24"/>
          <w:szCs w:val="24"/>
        </w:rPr>
        <w:t xml:space="preserve">of these matches to date and has </w:t>
      </w:r>
      <w:r w:rsidRPr="00C258A0">
        <w:rPr>
          <w:rFonts w:ascii="Arial" w:hAnsi="Arial" w:cs="Arial"/>
          <w:sz w:val="24"/>
          <w:szCs w:val="24"/>
        </w:rPr>
        <w:t xml:space="preserve">not identified </w:t>
      </w:r>
      <w:r w:rsidR="00D80C9D">
        <w:rPr>
          <w:rFonts w:ascii="Arial" w:hAnsi="Arial" w:cs="Arial"/>
          <w:sz w:val="24"/>
          <w:szCs w:val="24"/>
        </w:rPr>
        <w:t xml:space="preserve">any </w:t>
      </w:r>
      <w:r w:rsidRPr="00C258A0">
        <w:rPr>
          <w:rFonts w:ascii="Arial" w:hAnsi="Arial" w:cs="Arial"/>
          <w:sz w:val="24"/>
          <w:szCs w:val="24"/>
        </w:rPr>
        <w:t>overpayments</w:t>
      </w:r>
      <w:r w:rsidR="00BA7A38" w:rsidRPr="00C258A0">
        <w:rPr>
          <w:rFonts w:ascii="Arial" w:hAnsi="Arial" w:cs="Arial"/>
          <w:sz w:val="24"/>
          <w:szCs w:val="24"/>
        </w:rPr>
        <w:t xml:space="preserve">. YPS is currently in the process of </w:t>
      </w:r>
      <w:r w:rsidRPr="00C258A0">
        <w:rPr>
          <w:rFonts w:ascii="Arial" w:hAnsi="Arial" w:cs="Arial"/>
          <w:sz w:val="24"/>
          <w:szCs w:val="24"/>
        </w:rPr>
        <w:t xml:space="preserve">completing the investigation of the </w:t>
      </w:r>
      <w:r w:rsidR="005C460B">
        <w:rPr>
          <w:rFonts w:ascii="Arial" w:hAnsi="Arial" w:cs="Arial"/>
          <w:sz w:val="24"/>
          <w:szCs w:val="24"/>
        </w:rPr>
        <w:t xml:space="preserve">small number of </w:t>
      </w:r>
      <w:r w:rsidRPr="00C258A0">
        <w:rPr>
          <w:rFonts w:ascii="Arial" w:hAnsi="Arial" w:cs="Arial"/>
          <w:sz w:val="24"/>
          <w:szCs w:val="24"/>
        </w:rPr>
        <w:t>remaining matches.</w:t>
      </w:r>
    </w:p>
    <w:p w:rsidR="00D77E7B" w:rsidRPr="005C034D" w:rsidRDefault="005C034D" w:rsidP="005C034D">
      <w:pPr>
        <w:pStyle w:val="BodyText"/>
        <w:rPr>
          <w:rFonts w:ascii="Arial" w:hAnsi="Arial"/>
          <w:b/>
          <w:i/>
          <w:sz w:val="24"/>
        </w:rPr>
      </w:pPr>
      <w:r>
        <w:rPr>
          <w:rFonts w:ascii="Arial" w:hAnsi="Arial" w:cs="Arial"/>
          <w:sz w:val="24"/>
          <w:szCs w:val="24"/>
        </w:rPr>
        <w:lastRenderedPageBreak/>
        <w:t xml:space="preserve"> </w:t>
      </w:r>
      <w:r>
        <w:rPr>
          <w:rFonts w:ascii="Arial" w:hAnsi="Arial" w:cs="Arial"/>
          <w:sz w:val="24"/>
          <w:szCs w:val="24"/>
        </w:rPr>
        <w:tab/>
        <w:t xml:space="preserve">   </w:t>
      </w:r>
      <w:r w:rsidR="00D77E7B" w:rsidRPr="005C034D">
        <w:rPr>
          <w:rFonts w:ascii="Arial" w:hAnsi="Arial"/>
          <w:b/>
          <w:i/>
          <w:sz w:val="24"/>
        </w:rPr>
        <w:t>Implications for the Annual Governance Statement</w:t>
      </w:r>
    </w:p>
    <w:p w:rsidR="00D77E7B" w:rsidRDefault="00D77E7B" w:rsidP="009424D4">
      <w:pPr>
        <w:numPr>
          <w:ilvl w:val="1"/>
          <w:numId w:val="1"/>
        </w:numPr>
        <w:tabs>
          <w:tab w:val="left" w:pos="1077"/>
        </w:tabs>
        <w:spacing w:after="260"/>
        <w:rPr>
          <w:rFonts w:ascii="Arial" w:hAnsi="Arial" w:cs="Arial"/>
          <w:sz w:val="24"/>
          <w:szCs w:val="24"/>
        </w:rPr>
      </w:pPr>
      <w:r>
        <w:rPr>
          <w:rFonts w:ascii="Arial" w:hAnsi="Arial" w:cs="Arial"/>
          <w:sz w:val="24"/>
          <w:szCs w:val="24"/>
        </w:rPr>
        <w:t>On the basis of our work during 201</w:t>
      </w:r>
      <w:r w:rsidR="005C034D">
        <w:rPr>
          <w:rFonts w:ascii="Arial" w:hAnsi="Arial" w:cs="Arial"/>
          <w:sz w:val="24"/>
          <w:szCs w:val="24"/>
        </w:rPr>
        <w:t>3</w:t>
      </w:r>
      <w:r>
        <w:rPr>
          <w:rFonts w:ascii="Arial" w:hAnsi="Arial" w:cs="Arial"/>
          <w:sz w:val="24"/>
          <w:szCs w:val="24"/>
        </w:rPr>
        <w:t>/1</w:t>
      </w:r>
      <w:r w:rsidR="005C034D">
        <w:rPr>
          <w:rFonts w:ascii="Arial" w:hAnsi="Arial" w:cs="Arial"/>
          <w:sz w:val="24"/>
          <w:szCs w:val="24"/>
        </w:rPr>
        <w:t>4</w:t>
      </w:r>
      <w:r>
        <w:rPr>
          <w:rFonts w:ascii="Arial" w:hAnsi="Arial" w:cs="Arial"/>
          <w:sz w:val="24"/>
          <w:szCs w:val="24"/>
        </w:rPr>
        <w:t>, we are aware of no internal control weakness that require</w:t>
      </w:r>
      <w:r w:rsidR="00AF4576">
        <w:rPr>
          <w:rFonts w:ascii="Arial" w:hAnsi="Arial" w:cs="Arial"/>
          <w:sz w:val="24"/>
          <w:szCs w:val="24"/>
        </w:rPr>
        <w:t>s</w:t>
      </w:r>
      <w:r>
        <w:rPr>
          <w:rFonts w:ascii="Arial" w:hAnsi="Arial" w:cs="Arial"/>
          <w:sz w:val="24"/>
          <w:szCs w:val="24"/>
        </w:rPr>
        <w:t xml:space="preserve"> disclosure in the Annual Governance Statement.</w:t>
      </w:r>
    </w:p>
    <w:p w:rsidR="00D77E7B" w:rsidRPr="00D11ACD" w:rsidRDefault="00D77E7B" w:rsidP="009424D4">
      <w:pPr>
        <w:pStyle w:val="BodyText"/>
        <w:numPr>
          <w:ilvl w:val="0"/>
          <w:numId w:val="1"/>
        </w:numPr>
        <w:rPr>
          <w:rFonts w:ascii="Arial" w:hAnsi="Arial"/>
          <w:b/>
          <w:sz w:val="24"/>
        </w:rPr>
      </w:pPr>
      <w:r w:rsidRPr="00D11ACD">
        <w:rPr>
          <w:rFonts w:ascii="Arial" w:hAnsi="Arial"/>
          <w:b/>
          <w:sz w:val="24"/>
        </w:rPr>
        <w:t>Internal audit work undertaken</w:t>
      </w:r>
    </w:p>
    <w:p w:rsidR="00D77E7B" w:rsidRDefault="00D77E7B" w:rsidP="009424D4">
      <w:pPr>
        <w:pStyle w:val="BodyText"/>
        <w:numPr>
          <w:ilvl w:val="1"/>
          <w:numId w:val="1"/>
        </w:numPr>
        <w:rPr>
          <w:rFonts w:ascii="Arial" w:hAnsi="Arial"/>
          <w:sz w:val="24"/>
        </w:rPr>
      </w:pPr>
      <w:r>
        <w:rPr>
          <w:rFonts w:ascii="Arial" w:hAnsi="Arial"/>
          <w:sz w:val="24"/>
        </w:rPr>
        <w:t>Work carried out during 201</w:t>
      </w:r>
      <w:r w:rsidR="005C034D">
        <w:rPr>
          <w:rFonts w:ascii="Arial" w:hAnsi="Arial"/>
          <w:sz w:val="24"/>
        </w:rPr>
        <w:t>3</w:t>
      </w:r>
      <w:r>
        <w:rPr>
          <w:rFonts w:ascii="Arial" w:hAnsi="Arial"/>
          <w:sz w:val="24"/>
        </w:rPr>
        <w:t>/1</w:t>
      </w:r>
      <w:r w:rsidR="005C034D">
        <w:rPr>
          <w:rFonts w:ascii="Arial" w:hAnsi="Arial"/>
          <w:sz w:val="24"/>
        </w:rPr>
        <w:t>4</w:t>
      </w:r>
      <w:r>
        <w:rPr>
          <w:rFonts w:ascii="Arial" w:hAnsi="Arial"/>
          <w:sz w:val="24"/>
        </w:rPr>
        <w:t xml:space="preserve"> was in accordance with the audit plan presented and approved by the Pension Fund Committee in</w:t>
      </w:r>
      <w:r w:rsidR="00AF2695">
        <w:rPr>
          <w:rFonts w:ascii="Arial" w:hAnsi="Arial"/>
          <w:sz w:val="24"/>
        </w:rPr>
        <w:t xml:space="preserve"> </w:t>
      </w:r>
      <w:r w:rsidR="00772C63">
        <w:rPr>
          <w:rFonts w:ascii="Arial" w:hAnsi="Arial"/>
          <w:sz w:val="24"/>
        </w:rPr>
        <w:t>J</w:t>
      </w:r>
      <w:r w:rsidR="005C460B">
        <w:rPr>
          <w:rFonts w:ascii="Arial" w:hAnsi="Arial"/>
          <w:sz w:val="24"/>
        </w:rPr>
        <w:t xml:space="preserve">une </w:t>
      </w:r>
      <w:r w:rsidR="00A3022F">
        <w:rPr>
          <w:rFonts w:ascii="Arial" w:hAnsi="Arial"/>
          <w:sz w:val="24"/>
        </w:rPr>
        <w:t>201</w:t>
      </w:r>
      <w:r w:rsidR="005C034D">
        <w:rPr>
          <w:rFonts w:ascii="Arial" w:hAnsi="Arial"/>
          <w:sz w:val="24"/>
        </w:rPr>
        <w:t>3</w:t>
      </w:r>
      <w:r>
        <w:rPr>
          <w:rFonts w:ascii="Arial" w:hAnsi="Arial"/>
          <w:sz w:val="24"/>
        </w:rPr>
        <w:t>. Details of the assurance provided, and key issues identified for each of the areas covered are set out in the ‘Summary of our Findings and Assurance’ table attached</w:t>
      </w:r>
      <w:r w:rsidR="00DB2771">
        <w:rPr>
          <w:rFonts w:ascii="Arial" w:hAnsi="Arial"/>
          <w:sz w:val="24"/>
        </w:rPr>
        <w:t xml:space="preserve"> at page 8. T</w:t>
      </w:r>
      <w:r>
        <w:rPr>
          <w:rFonts w:ascii="Arial" w:hAnsi="Arial"/>
          <w:sz w:val="24"/>
        </w:rPr>
        <w:t xml:space="preserve">his shows that </w:t>
      </w:r>
      <w:r w:rsidR="00772C63">
        <w:rPr>
          <w:rFonts w:ascii="Arial" w:hAnsi="Arial"/>
          <w:sz w:val="24"/>
        </w:rPr>
        <w:t>71</w:t>
      </w:r>
      <w:r w:rsidR="00DC7514">
        <w:rPr>
          <w:rFonts w:ascii="Arial" w:hAnsi="Arial"/>
          <w:sz w:val="24"/>
        </w:rPr>
        <w:t xml:space="preserve"> </w:t>
      </w:r>
      <w:r>
        <w:rPr>
          <w:rFonts w:ascii="Arial" w:hAnsi="Arial"/>
          <w:sz w:val="24"/>
        </w:rPr>
        <w:t xml:space="preserve">days were spent on delivering the audit plan against planned audit activity of </w:t>
      </w:r>
      <w:r w:rsidR="005C034D">
        <w:rPr>
          <w:rFonts w:ascii="Arial" w:hAnsi="Arial"/>
          <w:sz w:val="24"/>
        </w:rPr>
        <w:t>85</w:t>
      </w:r>
      <w:r>
        <w:rPr>
          <w:rFonts w:ascii="Arial" w:hAnsi="Arial"/>
          <w:sz w:val="24"/>
        </w:rPr>
        <w:t xml:space="preserve"> days.  </w:t>
      </w:r>
    </w:p>
    <w:p w:rsidR="00D77E7B" w:rsidRDefault="00D77E7B" w:rsidP="009424D4">
      <w:pPr>
        <w:pStyle w:val="BodyText"/>
        <w:numPr>
          <w:ilvl w:val="1"/>
          <w:numId w:val="1"/>
        </w:numPr>
        <w:rPr>
          <w:rFonts w:ascii="Arial" w:hAnsi="Arial"/>
          <w:sz w:val="24"/>
        </w:rPr>
      </w:pPr>
      <w:r>
        <w:rPr>
          <w:rFonts w:ascii="Arial" w:hAnsi="Arial"/>
          <w:sz w:val="24"/>
        </w:rPr>
        <w:t>This work h</w:t>
      </w:r>
      <w:r w:rsidR="00AF2695">
        <w:rPr>
          <w:rFonts w:ascii="Arial" w:hAnsi="Arial"/>
          <w:sz w:val="24"/>
        </w:rPr>
        <w:t xml:space="preserve">as been undertaken with </w:t>
      </w:r>
      <w:r>
        <w:rPr>
          <w:rFonts w:ascii="Arial" w:hAnsi="Arial"/>
          <w:sz w:val="24"/>
        </w:rPr>
        <w:t xml:space="preserve">liaison with the council's external auditors to minimise any duplication in planned coverage.  </w:t>
      </w:r>
    </w:p>
    <w:p w:rsidR="00D77E7B" w:rsidRPr="00DC62AC" w:rsidRDefault="00D77E7B" w:rsidP="00DC62AC">
      <w:pPr>
        <w:pStyle w:val="BodyText"/>
        <w:numPr>
          <w:ilvl w:val="0"/>
          <w:numId w:val="1"/>
        </w:numPr>
        <w:rPr>
          <w:rFonts w:ascii="Arial" w:hAnsi="Arial" w:cs="Arial"/>
          <w:b/>
          <w:sz w:val="24"/>
          <w:szCs w:val="24"/>
        </w:rPr>
      </w:pPr>
      <w:r w:rsidRPr="00DC62AC">
        <w:rPr>
          <w:rFonts w:ascii="Arial" w:hAnsi="Arial" w:cs="Arial"/>
          <w:b/>
          <w:sz w:val="24"/>
          <w:szCs w:val="24"/>
        </w:rPr>
        <w:t>Internal audit plan 201</w:t>
      </w:r>
      <w:r w:rsidR="005C034D">
        <w:rPr>
          <w:rFonts w:ascii="Arial" w:hAnsi="Arial" w:cs="Arial"/>
          <w:b/>
          <w:sz w:val="24"/>
          <w:szCs w:val="24"/>
        </w:rPr>
        <w:t>4</w:t>
      </w:r>
      <w:r w:rsidRPr="00DC62AC">
        <w:rPr>
          <w:rFonts w:ascii="Arial" w:hAnsi="Arial" w:cs="Arial"/>
          <w:b/>
          <w:sz w:val="24"/>
          <w:szCs w:val="24"/>
        </w:rPr>
        <w:t>/1</w:t>
      </w:r>
      <w:r w:rsidR="005C034D">
        <w:rPr>
          <w:rFonts w:ascii="Arial" w:hAnsi="Arial" w:cs="Arial"/>
          <w:b/>
          <w:sz w:val="24"/>
          <w:szCs w:val="24"/>
        </w:rPr>
        <w:t>5</w:t>
      </w:r>
    </w:p>
    <w:p w:rsidR="00D77E7B" w:rsidRPr="00C26651" w:rsidRDefault="00D77E7B" w:rsidP="00D66BFA">
      <w:pPr>
        <w:pStyle w:val="BodyText"/>
        <w:numPr>
          <w:ilvl w:val="1"/>
          <w:numId w:val="1"/>
        </w:numPr>
        <w:rPr>
          <w:rFonts w:ascii="Arial" w:hAnsi="Arial" w:cs="Arial"/>
          <w:sz w:val="24"/>
          <w:szCs w:val="24"/>
        </w:rPr>
      </w:pPr>
      <w:r w:rsidRPr="00D66BFA">
        <w:rPr>
          <w:rFonts w:ascii="Arial" w:hAnsi="Arial" w:cs="Arial"/>
          <w:kern w:val="32"/>
          <w:sz w:val="24"/>
          <w:szCs w:val="24"/>
        </w:rPr>
        <w:t xml:space="preserve">The plan </w:t>
      </w:r>
      <w:r w:rsidR="00620433">
        <w:rPr>
          <w:rFonts w:ascii="Arial" w:hAnsi="Arial" w:cs="Arial"/>
          <w:kern w:val="32"/>
          <w:sz w:val="24"/>
          <w:szCs w:val="24"/>
        </w:rPr>
        <w:t xml:space="preserve">again </w:t>
      </w:r>
      <w:r w:rsidRPr="00D66BFA">
        <w:rPr>
          <w:rFonts w:ascii="Arial" w:hAnsi="Arial" w:cs="Arial"/>
          <w:kern w:val="32"/>
          <w:sz w:val="24"/>
          <w:szCs w:val="24"/>
        </w:rPr>
        <w:t xml:space="preserve">focuses on two distinct areas which cover the governance and management of the pension fund's assets and pension administration. The audit reviews identified under each of these areas is explained in </w:t>
      </w:r>
      <w:r w:rsidR="005C034D">
        <w:rPr>
          <w:rFonts w:ascii="Arial" w:hAnsi="Arial" w:cs="Arial"/>
          <w:kern w:val="32"/>
          <w:sz w:val="24"/>
          <w:szCs w:val="24"/>
        </w:rPr>
        <w:t xml:space="preserve">a little </w:t>
      </w:r>
      <w:r w:rsidRPr="00D66BFA">
        <w:rPr>
          <w:rFonts w:ascii="Arial" w:hAnsi="Arial" w:cs="Arial"/>
          <w:kern w:val="32"/>
          <w:sz w:val="24"/>
          <w:szCs w:val="24"/>
        </w:rPr>
        <w:t>more detail below.</w:t>
      </w:r>
    </w:p>
    <w:p w:rsidR="005C034D" w:rsidRDefault="003E65D4" w:rsidP="005C034D">
      <w:pPr>
        <w:pStyle w:val="BodyText"/>
        <w:ind w:left="851"/>
        <w:rPr>
          <w:rFonts w:ascii="Arial" w:hAnsi="Arial" w:cs="Arial"/>
          <w:b/>
          <w:i/>
          <w:sz w:val="24"/>
          <w:szCs w:val="24"/>
        </w:rPr>
      </w:pPr>
      <w:r w:rsidRPr="00005D84">
        <w:rPr>
          <w:rFonts w:ascii="Arial" w:hAnsi="Arial" w:cs="Arial"/>
          <w:b/>
          <w:i/>
          <w:sz w:val="24"/>
          <w:szCs w:val="24"/>
        </w:rPr>
        <w:t>Pension Fund</w:t>
      </w:r>
    </w:p>
    <w:p w:rsidR="006A2022" w:rsidRPr="005C034D" w:rsidRDefault="0053018E" w:rsidP="005C034D">
      <w:pPr>
        <w:pStyle w:val="BodyText"/>
        <w:numPr>
          <w:ilvl w:val="1"/>
          <w:numId w:val="1"/>
        </w:numPr>
        <w:rPr>
          <w:rFonts w:ascii="Arial" w:hAnsi="Arial" w:cs="Arial"/>
          <w:sz w:val="24"/>
          <w:szCs w:val="24"/>
        </w:rPr>
      </w:pPr>
      <w:r w:rsidRPr="005C034D">
        <w:rPr>
          <w:rFonts w:ascii="Arial" w:hAnsi="Arial" w:cs="Arial"/>
          <w:sz w:val="24"/>
          <w:szCs w:val="24"/>
        </w:rPr>
        <w:t xml:space="preserve">We have included </w:t>
      </w:r>
      <w:r w:rsidR="00005D84" w:rsidRPr="005C034D">
        <w:rPr>
          <w:rFonts w:ascii="Arial" w:hAnsi="Arial" w:cs="Arial"/>
          <w:sz w:val="24"/>
          <w:szCs w:val="24"/>
        </w:rPr>
        <w:t xml:space="preserve">audit </w:t>
      </w:r>
      <w:r w:rsidR="003E65D4" w:rsidRPr="005C034D">
        <w:rPr>
          <w:rFonts w:ascii="Arial" w:hAnsi="Arial" w:cs="Arial"/>
          <w:sz w:val="24"/>
          <w:szCs w:val="24"/>
        </w:rPr>
        <w:t>resource</w:t>
      </w:r>
      <w:r w:rsidR="00DC62AC" w:rsidRPr="005C034D">
        <w:rPr>
          <w:rFonts w:ascii="Arial" w:hAnsi="Arial" w:cs="Arial"/>
          <w:sz w:val="24"/>
          <w:szCs w:val="24"/>
        </w:rPr>
        <w:t>s</w:t>
      </w:r>
      <w:r w:rsidR="005C034D" w:rsidRPr="005C034D">
        <w:rPr>
          <w:rFonts w:ascii="Arial" w:hAnsi="Arial" w:cs="Arial"/>
          <w:sz w:val="24"/>
          <w:szCs w:val="24"/>
        </w:rPr>
        <w:t xml:space="preserve"> </w:t>
      </w:r>
      <w:r w:rsidR="003E65D4" w:rsidRPr="005C034D">
        <w:rPr>
          <w:rFonts w:ascii="Arial" w:hAnsi="Arial" w:cs="Arial"/>
          <w:sz w:val="24"/>
          <w:szCs w:val="24"/>
        </w:rPr>
        <w:t>within the 201</w:t>
      </w:r>
      <w:r w:rsidR="005C034D" w:rsidRPr="005C034D">
        <w:rPr>
          <w:rFonts w:ascii="Arial" w:hAnsi="Arial" w:cs="Arial"/>
          <w:sz w:val="24"/>
          <w:szCs w:val="24"/>
        </w:rPr>
        <w:t>4</w:t>
      </w:r>
      <w:r w:rsidR="003E65D4" w:rsidRPr="005C034D">
        <w:rPr>
          <w:rFonts w:ascii="Arial" w:hAnsi="Arial" w:cs="Arial"/>
          <w:sz w:val="24"/>
          <w:szCs w:val="24"/>
        </w:rPr>
        <w:t>/1</w:t>
      </w:r>
      <w:r w:rsidR="005C034D" w:rsidRPr="005C034D">
        <w:rPr>
          <w:rFonts w:ascii="Arial" w:hAnsi="Arial" w:cs="Arial"/>
          <w:sz w:val="24"/>
          <w:szCs w:val="24"/>
        </w:rPr>
        <w:t>5</w:t>
      </w:r>
      <w:r w:rsidR="003E65D4" w:rsidRPr="005C034D">
        <w:rPr>
          <w:rFonts w:ascii="Arial" w:hAnsi="Arial" w:cs="Arial"/>
          <w:sz w:val="24"/>
          <w:szCs w:val="24"/>
        </w:rPr>
        <w:t xml:space="preserve"> plan to </w:t>
      </w:r>
      <w:r w:rsidR="005C034D" w:rsidRPr="005C034D">
        <w:rPr>
          <w:rFonts w:ascii="Arial" w:hAnsi="Arial" w:cs="Arial"/>
          <w:sz w:val="24"/>
          <w:szCs w:val="24"/>
        </w:rPr>
        <w:t>ensure that there are adequate and effective arrangements in place to monitor the performance and continued appropriateness of the inv</w:t>
      </w:r>
      <w:r w:rsidR="005C034D">
        <w:rPr>
          <w:rFonts w:ascii="Arial" w:hAnsi="Arial" w:cs="Arial"/>
          <w:sz w:val="24"/>
          <w:szCs w:val="24"/>
        </w:rPr>
        <w:t xml:space="preserve">estments made. </w:t>
      </w:r>
      <w:r w:rsidR="00DC62AC" w:rsidRPr="005C034D">
        <w:rPr>
          <w:rFonts w:ascii="Arial" w:hAnsi="Arial" w:cs="Arial"/>
          <w:sz w:val="24"/>
          <w:szCs w:val="24"/>
        </w:rPr>
        <w:t>(</w:t>
      </w:r>
      <w:r w:rsidR="005C034D" w:rsidRPr="005C034D">
        <w:rPr>
          <w:rFonts w:ascii="Arial" w:hAnsi="Arial" w:cs="Arial"/>
          <w:sz w:val="24"/>
          <w:szCs w:val="24"/>
        </w:rPr>
        <w:t>20</w:t>
      </w:r>
      <w:r w:rsidR="00DC62AC" w:rsidRPr="005C034D">
        <w:rPr>
          <w:rFonts w:ascii="Arial" w:hAnsi="Arial" w:cs="Arial"/>
          <w:sz w:val="24"/>
          <w:szCs w:val="24"/>
        </w:rPr>
        <w:t xml:space="preserve"> </w:t>
      </w:r>
      <w:r w:rsidR="00005D84" w:rsidRPr="005C034D">
        <w:rPr>
          <w:rFonts w:ascii="Arial" w:hAnsi="Arial" w:cs="Arial"/>
          <w:sz w:val="24"/>
          <w:szCs w:val="24"/>
        </w:rPr>
        <w:t>days)</w:t>
      </w:r>
      <w:r w:rsidR="00B06DA7" w:rsidRPr="005C034D">
        <w:rPr>
          <w:rFonts w:ascii="Arial" w:hAnsi="Arial" w:cs="Arial"/>
          <w:sz w:val="24"/>
          <w:szCs w:val="24"/>
        </w:rPr>
        <w:t xml:space="preserve"> </w:t>
      </w:r>
    </w:p>
    <w:p w:rsidR="00BF3D44" w:rsidRDefault="00077FA3" w:rsidP="00FF06DD">
      <w:pPr>
        <w:pStyle w:val="Heading1"/>
        <w:numPr>
          <w:ilvl w:val="1"/>
          <w:numId w:val="1"/>
        </w:numPr>
        <w:spacing w:before="120" w:after="0" w:line="240" w:lineRule="auto"/>
        <w:rPr>
          <w:rFonts w:ascii="Arial" w:hAnsi="Arial" w:cs="Arial"/>
          <w:b w:val="0"/>
          <w:sz w:val="24"/>
          <w:szCs w:val="24"/>
        </w:rPr>
      </w:pPr>
      <w:r>
        <w:rPr>
          <w:rFonts w:ascii="Arial" w:hAnsi="Arial" w:cs="Arial"/>
          <w:b w:val="0"/>
          <w:sz w:val="24"/>
          <w:szCs w:val="24"/>
        </w:rPr>
        <w:t>In line with best practise w</w:t>
      </w:r>
      <w:r w:rsidR="005C034D">
        <w:rPr>
          <w:rFonts w:ascii="Arial" w:hAnsi="Arial" w:cs="Arial"/>
          <w:b w:val="0"/>
          <w:sz w:val="24"/>
          <w:szCs w:val="24"/>
        </w:rPr>
        <w:t xml:space="preserve">e will again provide assurance over the accounting arrangements </w:t>
      </w:r>
      <w:r>
        <w:rPr>
          <w:rFonts w:ascii="Arial" w:hAnsi="Arial" w:cs="Arial"/>
          <w:b w:val="0"/>
          <w:sz w:val="24"/>
          <w:szCs w:val="24"/>
        </w:rPr>
        <w:t>for the pension fund.</w:t>
      </w:r>
      <w:r w:rsidR="00770B1A" w:rsidRPr="00FF06DD">
        <w:rPr>
          <w:rFonts w:ascii="Arial" w:hAnsi="Arial" w:cs="Arial"/>
          <w:b w:val="0"/>
          <w:sz w:val="24"/>
          <w:szCs w:val="24"/>
        </w:rPr>
        <w:t xml:space="preserve"> </w:t>
      </w:r>
      <w:r w:rsidR="00005D84" w:rsidRPr="00FF06DD">
        <w:rPr>
          <w:rFonts w:ascii="Arial" w:hAnsi="Arial" w:cs="Arial"/>
          <w:b w:val="0"/>
          <w:sz w:val="24"/>
          <w:szCs w:val="24"/>
        </w:rPr>
        <w:t>(</w:t>
      </w:r>
      <w:r w:rsidR="00DC62AC" w:rsidRPr="00FF06DD">
        <w:rPr>
          <w:rFonts w:ascii="Arial" w:hAnsi="Arial" w:cs="Arial"/>
          <w:b w:val="0"/>
          <w:sz w:val="24"/>
          <w:szCs w:val="24"/>
        </w:rPr>
        <w:t>10</w:t>
      </w:r>
      <w:r w:rsidR="001A0118" w:rsidRPr="00FF06DD">
        <w:rPr>
          <w:rFonts w:ascii="Arial" w:hAnsi="Arial" w:cs="Arial"/>
          <w:b w:val="0"/>
          <w:sz w:val="24"/>
          <w:szCs w:val="24"/>
        </w:rPr>
        <w:t xml:space="preserve"> </w:t>
      </w:r>
      <w:r w:rsidR="00005D84" w:rsidRPr="00FF06DD">
        <w:rPr>
          <w:rFonts w:ascii="Arial" w:hAnsi="Arial" w:cs="Arial"/>
          <w:b w:val="0"/>
          <w:sz w:val="24"/>
          <w:szCs w:val="24"/>
        </w:rPr>
        <w:t>days)</w:t>
      </w:r>
    </w:p>
    <w:p w:rsidR="00077FA3" w:rsidRDefault="00077FA3" w:rsidP="00077FA3"/>
    <w:p w:rsidR="00077FA3" w:rsidRPr="00D80C9D" w:rsidRDefault="00D80C9D" w:rsidP="00077FA3">
      <w:pPr>
        <w:pStyle w:val="Heading1"/>
        <w:numPr>
          <w:ilvl w:val="1"/>
          <w:numId w:val="1"/>
        </w:numPr>
        <w:spacing w:before="120" w:after="0" w:line="240" w:lineRule="auto"/>
        <w:rPr>
          <w:rFonts w:ascii="Arial" w:hAnsi="Arial" w:cs="Arial"/>
          <w:b w:val="0"/>
        </w:rPr>
      </w:pPr>
      <w:r w:rsidRPr="00D80C9D">
        <w:rPr>
          <w:rFonts w:ascii="Arial" w:hAnsi="Arial" w:cs="Arial"/>
          <w:b w:val="0"/>
          <w:sz w:val="24"/>
          <w:szCs w:val="24"/>
        </w:rPr>
        <w:t xml:space="preserve">We </w:t>
      </w:r>
      <w:r w:rsidR="00276B96">
        <w:rPr>
          <w:rFonts w:ascii="Arial" w:hAnsi="Arial" w:cs="Arial"/>
          <w:b w:val="0"/>
          <w:sz w:val="24"/>
          <w:szCs w:val="24"/>
        </w:rPr>
        <w:t xml:space="preserve">are proposing to </w:t>
      </w:r>
      <w:r w:rsidRPr="00D80C9D">
        <w:rPr>
          <w:rFonts w:ascii="Arial" w:hAnsi="Arial" w:cs="Arial"/>
          <w:b w:val="0"/>
          <w:sz w:val="24"/>
          <w:szCs w:val="24"/>
        </w:rPr>
        <w:t xml:space="preserve">review the adequacy of the processes employed for the procurement of the property </w:t>
      </w:r>
      <w:r>
        <w:rPr>
          <w:rFonts w:ascii="Arial" w:hAnsi="Arial" w:cs="Arial"/>
          <w:b w:val="0"/>
          <w:sz w:val="24"/>
          <w:szCs w:val="24"/>
        </w:rPr>
        <w:t>fund man</w:t>
      </w:r>
      <w:r w:rsidRPr="00D80C9D">
        <w:rPr>
          <w:rFonts w:ascii="Arial" w:hAnsi="Arial" w:cs="Arial"/>
          <w:b w:val="0"/>
          <w:sz w:val="24"/>
          <w:szCs w:val="24"/>
        </w:rPr>
        <w:t>date which has been deferred from the 2013/14 internal audit plan.</w:t>
      </w:r>
      <w:r w:rsidR="005C460B">
        <w:rPr>
          <w:rFonts w:ascii="Arial" w:hAnsi="Arial" w:cs="Arial"/>
          <w:b w:val="0"/>
          <w:sz w:val="24"/>
          <w:szCs w:val="24"/>
        </w:rPr>
        <w:t xml:space="preserve"> </w:t>
      </w:r>
      <w:r>
        <w:rPr>
          <w:rFonts w:ascii="Arial" w:hAnsi="Arial" w:cs="Arial"/>
          <w:b w:val="0"/>
          <w:sz w:val="24"/>
          <w:szCs w:val="24"/>
        </w:rPr>
        <w:t>(10 days)</w:t>
      </w:r>
    </w:p>
    <w:p w:rsidR="00276B96" w:rsidRDefault="00276B96">
      <w:pPr>
        <w:pStyle w:val="BodyText"/>
        <w:ind w:left="851"/>
        <w:rPr>
          <w:rFonts w:ascii="Arial" w:hAnsi="Arial" w:cs="Arial"/>
          <w:b/>
          <w:i/>
          <w:sz w:val="24"/>
          <w:szCs w:val="24"/>
        </w:rPr>
      </w:pPr>
    </w:p>
    <w:p w:rsidR="00386CFC" w:rsidRPr="00005D84" w:rsidRDefault="001A0118">
      <w:pPr>
        <w:pStyle w:val="BodyText"/>
        <w:ind w:left="851"/>
        <w:rPr>
          <w:rFonts w:ascii="Arial" w:hAnsi="Arial" w:cs="Arial"/>
          <w:b/>
          <w:i/>
          <w:sz w:val="24"/>
          <w:szCs w:val="24"/>
        </w:rPr>
      </w:pPr>
      <w:r>
        <w:rPr>
          <w:rFonts w:ascii="Arial" w:hAnsi="Arial" w:cs="Arial"/>
          <w:b/>
          <w:i/>
          <w:sz w:val="24"/>
          <w:szCs w:val="24"/>
        </w:rPr>
        <w:t>Pension</w:t>
      </w:r>
      <w:r w:rsidRPr="00005D84">
        <w:rPr>
          <w:rFonts w:ascii="Arial" w:hAnsi="Arial" w:cs="Arial"/>
          <w:b/>
          <w:i/>
          <w:sz w:val="24"/>
          <w:szCs w:val="24"/>
        </w:rPr>
        <w:t xml:space="preserve"> administration </w:t>
      </w:r>
    </w:p>
    <w:p w:rsidR="00005D84" w:rsidRDefault="00386CFC" w:rsidP="00005D84">
      <w:pPr>
        <w:pStyle w:val="Heading1"/>
        <w:numPr>
          <w:ilvl w:val="1"/>
          <w:numId w:val="1"/>
        </w:numPr>
        <w:spacing w:before="120" w:after="0" w:line="240" w:lineRule="auto"/>
        <w:rPr>
          <w:rFonts w:ascii="Arial" w:hAnsi="Arial" w:cs="Arial"/>
          <w:b w:val="0"/>
          <w:sz w:val="24"/>
          <w:szCs w:val="24"/>
        </w:rPr>
      </w:pPr>
      <w:r w:rsidRPr="00005D84">
        <w:rPr>
          <w:rFonts w:ascii="Arial" w:hAnsi="Arial" w:cs="Arial"/>
          <w:b w:val="0"/>
          <w:sz w:val="24"/>
          <w:szCs w:val="24"/>
        </w:rPr>
        <w:t xml:space="preserve">We propose to focus this year's work on testing the </w:t>
      </w:r>
      <w:r w:rsidR="00276B96">
        <w:rPr>
          <w:rFonts w:ascii="Arial" w:hAnsi="Arial" w:cs="Arial"/>
          <w:b w:val="0"/>
          <w:sz w:val="24"/>
          <w:szCs w:val="24"/>
        </w:rPr>
        <w:t xml:space="preserve">adequacy and </w:t>
      </w:r>
      <w:r w:rsidRPr="00005D84">
        <w:rPr>
          <w:rFonts w:ascii="Arial" w:hAnsi="Arial" w:cs="Arial"/>
          <w:b w:val="0"/>
          <w:sz w:val="24"/>
          <w:szCs w:val="24"/>
        </w:rPr>
        <w:t xml:space="preserve">effectiveness of the </w:t>
      </w:r>
      <w:r w:rsidR="007F7174">
        <w:rPr>
          <w:rFonts w:ascii="Arial" w:hAnsi="Arial" w:cs="Arial"/>
          <w:b w:val="0"/>
          <w:sz w:val="24"/>
          <w:szCs w:val="24"/>
        </w:rPr>
        <w:t xml:space="preserve">processes </w:t>
      </w:r>
      <w:r w:rsidR="00276B96">
        <w:rPr>
          <w:rFonts w:ascii="Arial" w:hAnsi="Arial" w:cs="Arial"/>
          <w:b w:val="0"/>
          <w:sz w:val="24"/>
          <w:szCs w:val="24"/>
        </w:rPr>
        <w:t xml:space="preserve">introduced since 1 April 2014 to reflect the significant changes </w:t>
      </w:r>
      <w:r w:rsidR="007F7174">
        <w:rPr>
          <w:rFonts w:ascii="Arial" w:hAnsi="Arial" w:cs="Arial"/>
          <w:b w:val="0"/>
          <w:sz w:val="24"/>
          <w:szCs w:val="24"/>
        </w:rPr>
        <w:t xml:space="preserve">required as part </w:t>
      </w:r>
      <w:r w:rsidR="00276B96">
        <w:rPr>
          <w:rFonts w:ascii="Arial" w:hAnsi="Arial" w:cs="Arial"/>
          <w:b w:val="0"/>
          <w:sz w:val="24"/>
          <w:szCs w:val="24"/>
        </w:rPr>
        <w:t xml:space="preserve">of the Local Government Pension Scheme 2014, </w:t>
      </w:r>
      <w:r w:rsidR="007F7174">
        <w:rPr>
          <w:rFonts w:ascii="Arial" w:hAnsi="Arial" w:cs="Arial"/>
          <w:b w:val="0"/>
          <w:sz w:val="24"/>
          <w:szCs w:val="24"/>
        </w:rPr>
        <w:t xml:space="preserve">in particular </w:t>
      </w:r>
      <w:r w:rsidR="00276B96">
        <w:rPr>
          <w:rFonts w:ascii="Arial" w:hAnsi="Arial" w:cs="Arial"/>
          <w:b w:val="0"/>
          <w:sz w:val="24"/>
          <w:szCs w:val="24"/>
        </w:rPr>
        <w:t>the change to a Care Average Rev</w:t>
      </w:r>
      <w:r w:rsidR="007F7174">
        <w:rPr>
          <w:rFonts w:ascii="Arial" w:hAnsi="Arial" w:cs="Arial"/>
          <w:b w:val="0"/>
          <w:sz w:val="24"/>
          <w:szCs w:val="24"/>
        </w:rPr>
        <w:t>al</w:t>
      </w:r>
      <w:r w:rsidR="00276B96">
        <w:rPr>
          <w:rFonts w:ascii="Arial" w:hAnsi="Arial" w:cs="Arial"/>
          <w:b w:val="0"/>
          <w:sz w:val="24"/>
          <w:szCs w:val="24"/>
        </w:rPr>
        <w:t xml:space="preserve">ued </w:t>
      </w:r>
      <w:r w:rsidR="00276B96">
        <w:rPr>
          <w:rFonts w:ascii="Arial" w:hAnsi="Arial" w:cs="Arial"/>
          <w:b w:val="0"/>
          <w:sz w:val="24"/>
          <w:szCs w:val="24"/>
        </w:rPr>
        <w:lastRenderedPageBreak/>
        <w:t xml:space="preserve">Earnings (CARE) scheme. </w:t>
      </w:r>
      <w:r w:rsidRPr="00005D84">
        <w:rPr>
          <w:rFonts w:ascii="Arial" w:hAnsi="Arial" w:cs="Arial"/>
          <w:b w:val="0"/>
          <w:sz w:val="24"/>
          <w:szCs w:val="24"/>
        </w:rPr>
        <w:t xml:space="preserve"> </w:t>
      </w:r>
      <w:r w:rsidR="00005D84">
        <w:rPr>
          <w:rFonts w:ascii="Arial" w:hAnsi="Arial" w:cs="Arial"/>
          <w:b w:val="0"/>
          <w:sz w:val="24"/>
          <w:szCs w:val="24"/>
        </w:rPr>
        <w:t xml:space="preserve"> </w:t>
      </w:r>
      <w:r w:rsidR="007F7174">
        <w:rPr>
          <w:rFonts w:ascii="Arial" w:hAnsi="Arial" w:cs="Arial"/>
          <w:b w:val="0"/>
          <w:sz w:val="24"/>
          <w:szCs w:val="24"/>
        </w:rPr>
        <w:t xml:space="preserve">The allocation of days has been increased from previous years to reflect the requirement to document </w:t>
      </w:r>
      <w:r w:rsidR="000A32CC">
        <w:rPr>
          <w:rFonts w:ascii="Arial" w:hAnsi="Arial" w:cs="Arial"/>
          <w:b w:val="0"/>
          <w:sz w:val="24"/>
          <w:szCs w:val="24"/>
        </w:rPr>
        <w:t xml:space="preserve">any new processes and the </w:t>
      </w:r>
      <w:r w:rsidR="007F7174">
        <w:rPr>
          <w:rFonts w:ascii="Arial" w:hAnsi="Arial" w:cs="Arial"/>
          <w:b w:val="0"/>
          <w:sz w:val="24"/>
          <w:szCs w:val="24"/>
        </w:rPr>
        <w:t xml:space="preserve">testing required to provide </w:t>
      </w:r>
      <w:r w:rsidR="000A32CC">
        <w:rPr>
          <w:rFonts w:ascii="Arial" w:hAnsi="Arial" w:cs="Arial"/>
          <w:b w:val="0"/>
          <w:sz w:val="24"/>
          <w:szCs w:val="24"/>
        </w:rPr>
        <w:t xml:space="preserve">an </w:t>
      </w:r>
      <w:r w:rsidR="007F7174">
        <w:rPr>
          <w:rFonts w:ascii="Arial" w:hAnsi="Arial" w:cs="Arial"/>
          <w:b w:val="0"/>
          <w:sz w:val="24"/>
          <w:szCs w:val="24"/>
        </w:rPr>
        <w:t xml:space="preserve">appropriate </w:t>
      </w:r>
      <w:r w:rsidR="000A32CC">
        <w:rPr>
          <w:rFonts w:ascii="Arial" w:hAnsi="Arial" w:cs="Arial"/>
          <w:b w:val="0"/>
          <w:sz w:val="24"/>
          <w:szCs w:val="24"/>
        </w:rPr>
        <w:t xml:space="preserve">level of </w:t>
      </w:r>
      <w:r w:rsidR="007F7174">
        <w:rPr>
          <w:rFonts w:ascii="Arial" w:hAnsi="Arial" w:cs="Arial"/>
          <w:b w:val="0"/>
          <w:sz w:val="24"/>
          <w:szCs w:val="24"/>
        </w:rPr>
        <w:t xml:space="preserve">assurance over this area. </w:t>
      </w:r>
      <w:r w:rsidR="00005D84">
        <w:rPr>
          <w:rFonts w:ascii="Arial" w:hAnsi="Arial" w:cs="Arial"/>
          <w:b w:val="0"/>
          <w:sz w:val="24"/>
          <w:szCs w:val="24"/>
        </w:rPr>
        <w:t>(</w:t>
      </w:r>
      <w:r w:rsidR="00276B96">
        <w:rPr>
          <w:rFonts w:ascii="Arial" w:hAnsi="Arial" w:cs="Arial"/>
          <w:b w:val="0"/>
          <w:sz w:val="24"/>
          <w:szCs w:val="24"/>
        </w:rPr>
        <w:t>40</w:t>
      </w:r>
      <w:r w:rsidR="00005D84">
        <w:rPr>
          <w:rFonts w:ascii="Arial" w:hAnsi="Arial" w:cs="Arial"/>
          <w:b w:val="0"/>
          <w:sz w:val="24"/>
          <w:szCs w:val="24"/>
        </w:rPr>
        <w:t xml:space="preserve"> days)</w:t>
      </w:r>
    </w:p>
    <w:p w:rsidR="00AF2695" w:rsidRDefault="00AF2695" w:rsidP="00005D84">
      <w:pPr>
        <w:pStyle w:val="BodyText"/>
        <w:ind w:left="851"/>
        <w:rPr>
          <w:rFonts w:ascii="Arial" w:hAnsi="Arial" w:cs="Arial"/>
          <w:b/>
          <w:i/>
          <w:sz w:val="24"/>
          <w:szCs w:val="24"/>
        </w:rPr>
      </w:pPr>
    </w:p>
    <w:p w:rsidR="00005D84" w:rsidRPr="00005D84" w:rsidRDefault="00005D84" w:rsidP="00005D84">
      <w:pPr>
        <w:pStyle w:val="BodyText"/>
        <w:ind w:left="851"/>
        <w:rPr>
          <w:rFonts w:ascii="Arial" w:hAnsi="Arial" w:cs="Arial"/>
          <w:b/>
          <w:i/>
          <w:sz w:val="24"/>
          <w:szCs w:val="24"/>
        </w:rPr>
      </w:pPr>
      <w:r w:rsidRPr="00005D84">
        <w:rPr>
          <w:rFonts w:ascii="Arial" w:hAnsi="Arial" w:cs="Arial"/>
          <w:b/>
          <w:i/>
          <w:sz w:val="24"/>
          <w:szCs w:val="24"/>
        </w:rPr>
        <w:t>Follow Up</w:t>
      </w:r>
    </w:p>
    <w:p w:rsidR="00005D84" w:rsidRDefault="00005D84" w:rsidP="00005D84">
      <w:pPr>
        <w:pStyle w:val="Heading1"/>
        <w:numPr>
          <w:ilvl w:val="1"/>
          <w:numId w:val="1"/>
        </w:numPr>
        <w:spacing w:before="120" w:after="0" w:line="240" w:lineRule="auto"/>
        <w:rPr>
          <w:rFonts w:ascii="Arial" w:hAnsi="Arial" w:cs="Arial"/>
          <w:b w:val="0"/>
          <w:sz w:val="24"/>
        </w:rPr>
      </w:pPr>
      <w:r w:rsidRPr="00005D84">
        <w:rPr>
          <w:rFonts w:ascii="Arial" w:hAnsi="Arial" w:cs="Arial"/>
          <w:b w:val="0"/>
          <w:sz w:val="24"/>
        </w:rPr>
        <w:t>Audit resources have been identified to ensure that all reviews are followed up and our findings are re-assessed as the actions previously agreed with management are implemented.</w:t>
      </w:r>
      <w:r>
        <w:rPr>
          <w:rFonts w:ascii="Arial" w:hAnsi="Arial" w:cs="Arial"/>
          <w:b w:val="0"/>
          <w:sz w:val="24"/>
        </w:rPr>
        <w:t xml:space="preserve"> (</w:t>
      </w:r>
      <w:r w:rsidR="00D80C9D">
        <w:rPr>
          <w:rFonts w:ascii="Arial" w:hAnsi="Arial" w:cs="Arial"/>
          <w:b w:val="0"/>
          <w:sz w:val="24"/>
        </w:rPr>
        <w:t>2</w:t>
      </w:r>
      <w:r>
        <w:rPr>
          <w:rFonts w:ascii="Arial" w:hAnsi="Arial" w:cs="Arial"/>
          <w:b w:val="0"/>
          <w:sz w:val="24"/>
        </w:rPr>
        <w:t xml:space="preserve"> days)</w:t>
      </w:r>
    </w:p>
    <w:p w:rsidR="00DC62AC" w:rsidRPr="00DC62AC" w:rsidRDefault="00DC62AC" w:rsidP="00DC62AC"/>
    <w:p w:rsidR="00005D84" w:rsidRPr="00005D84" w:rsidRDefault="001C2489" w:rsidP="00005D84">
      <w:pPr>
        <w:ind w:left="709"/>
        <w:rPr>
          <w:rFonts w:ascii="Arial" w:hAnsi="Arial" w:cs="Arial"/>
          <w:b/>
          <w:i/>
          <w:sz w:val="24"/>
          <w:szCs w:val="24"/>
        </w:rPr>
      </w:pPr>
      <w:r w:rsidRPr="00005D84">
        <w:rPr>
          <w:rFonts w:ascii="Arial" w:hAnsi="Arial" w:cs="Arial"/>
          <w:b/>
          <w:i/>
          <w:sz w:val="24"/>
          <w:szCs w:val="24"/>
        </w:rPr>
        <w:t>G</w:t>
      </w:r>
      <w:r>
        <w:rPr>
          <w:rFonts w:ascii="Arial" w:hAnsi="Arial" w:cs="Arial"/>
          <w:b/>
          <w:i/>
          <w:sz w:val="24"/>
          <w:szCs w:val="24"/>
        </w:rPr>
        <w:t>e</w:t>
      </w:r>
      <w:r w:rsidRPr="00005D84">
        <w:rPr>
          <w:rFonts w:ascii="Arial" w:hAnsi="Arial" w:cs="Arial"/>
          <w:b/>
          <w:i/>
          <w:sz w:val="24"/>
          <w:szCs w:val="24"/>
        </w:rPr>
        <w:t>neral</w:t>
      </w:r>
      <w:r w:rsidR="00005D84" w:rsidRPr="00005D84">
        <w:rPr>
          <w:rFonts w:ascii="Arial" w:hAnsi="Arial" w:cs="Arial"/>
          <w:b/>
          <w:i/>
          <w:sz w:val="24"/>
          <w:szCs w:val="24"/>
        </w:rPr>
        <w:t xml:space="preserve"> Management</w:t>
      </w:r>
    </w:p>
    <w:p w:rsidR="00005D84" w:rsidRDefault="00005D84" w:rsidP="00005D84">
      <w:pPr>
        <w:pStyle w:val="Heading1"/>
        <w:numPr>
          <w:ilvl w:val="1"/>
          <w:numId w:val="1"/>
        </w:numPr>
        <w:spacing w:before="120" w:after="0" w:line="240" w:lineRule="auto"/>
        <w:rPr>
          <w:rFonts w:ascii="Arial" w:hAnsi="Arial" w:cs="Arial"/>
          <w:b w:val="0"/>
          <w:sz w:val="24"/>
        </w:rPr>
      </w:pPr>
      <w:r>
        <w:rPr>
          <w:rFonts w:ascii="Arial" w:hAnsi="Arial" w:cs="Arial"/>
          <w:b w:val="0"/>
          <w:sz w:val="24"/>
        </w:rPr>
        <w:t xml:space="preserve">An allocation </w:t>
      </w:r>
      <w:r w:rsidR="00276B96">
        <w:rPr>
          <w:rFonts w:ascii="Arial" w:hAnsi="Arial" w:cs="Arial"/>
          <w:b w:val="0"/>
          <w:sz w:val="24"/>
        </w:rPr>
        <w:t>of 3</w:t>
      </w:r>
      <w:r w:rsidR="00DC62AC">
        <w:rPr>
          <w:rFonts w:ascii="Arial" w:hAnsi="Arial" w:cs="Arial"/>
          <w:b w:val="0"/>
          <w:sz w:val="24"/>
        </w:rPr>
        <w:t xml:space="preserve"> </w:t>
      </w:r>
      <w:r>
        <w:rPr>
          <w:rFonts w:ascii="Arial" w:hAnsi="Arial" w:cs="Arial"/>
          <w:b w:val="0"/>
          <w:sz w:val="24"/>
        </w:rPr>
        <w:t>days has also been made to cover other management and tasks in support of the internal audit service to the pension fund:</w:t>
      </w:r>
    </w:p>
    <w:p w:rsidR="00005D84" w:rsidRPr="00005D84" w:rsidRDefault="00005D84" w:rsidP="00005D84"/>
    <w:p w:rsidR="00005D84" w:rsidRDefault="00005D84" w:rsidP="00005D84">
      <w:pPr>
        <w:pStyle w:val="ListParagraph"/>
        <w:numPr>
          <w:ilvl w:val="0"/>
          <w:numId w:val="35"/>
        </w:numPr>
        <w:spacing w:after="200" w:line="276" w:lineRule="auto"/>
        <w:rPr>
          <w:rFonts w:cs="Arial"/>
        </w:rPr>
      </w:pPr>
      <w:r>
        <w:rPr>
          <w:rFonts w:cs="Arial"/>
        </w:rPr>
        <w:t>Attendance at meetings;</w:t>
      </w:r>
    </w:p>
    <w:p w:rsidR="00005D84" w:rsidRDefault="00005D84" w:rsidP="00005D84">
      <w:pPr>
        <w:pStyle w:val="ListParagraph"/>
        <w:numPr>
          <w:ilvl w:val="0"/>
          <w:numId w:val="35"/>
        </w:numPr>
        <w:spacing w:after="200" w:line="276" w:lineRule="auto"/>
        <w:rPr>
          <w:rFonts w:cs="Arial"/>
        </w:rPr>
      </w:pPr>
      <w:r>
        <w:rPr>
          <w:rFonts w:cs="Arial"/>
        </w:rPr>
        <w:t>Liaison with the Audit Commission; and</w:t>
      </w:r>
    </w:p>
    <w:p w:rsidR="00005D84" w:rsidRDefault="00005D84" w:rsidP="00005D84">
      <w:pPr>
        <w:pStyle w:val="ListParagraph"/>
        <w:numPr>
          <w:ilvl w:val="0"/>
          <w:numId w:val="35"/>
        </w:numPr>
        <w:spacing w:before="120" w:after="120" w:line="276" w:lineRule="auto"/>
        <w:rPr>
          <w:rFonts w:ascii="Calibri" w:hAnsi="Calibri"/>
          <w:sz w:val="22"/>
          <w:szCs w:val="22"/>
        </w:rPr>
      </w:pPr>
      <w:r>
        <w:rPr>
          <w:rFonts w:cs="Arial"/>
        </w:rPr>
        <w:t>Central reporting.</w:t>
      </w:r>
    </w:p>
    <w:p w:rsidR="005D71F5" w:rsidRDefault="00BA7A38" w:rsidP="00005D84">
      <w:pPr>
        <w:pStyle w:val="Heading1"/>
        <w:numPr>
          <w:ilvl w:val="1"/>
          <w:numId w:val="1"/>
        </w:numPr>
        <w:spacing w:before="120" w:after="0" w:line="240" w:lineRule="auto"/>
        <w:rPr>
          <w:rFonts w:ascii="Arial" w:hAnsi="Arial" w:cs="Arial"/>
          <w:b w:val="0"/>
          <w:sz w:val="24"/>
          <w:szCs w:val="24"/>
        </w:rPr>
      </w:pPr>
      <w:r w:rsidRPr="00005D84">
        <w:rPr>
          <w:rFonts w:ascii="Arial" w:hAnsi="Arial" w:cs="Arial"/>
          <w:b w:val="0"/>
          <w:sz w:val="24"/>
          <w:szCs w:val="24"/>
        </w:rPr>
        <w:t xml:space="preserve">The proposed plan amounts to </w:t>
      </w:r>
      <w:r w:rsidR="00D80C9D">
        <w:rPr>
          <w:rFonts w:ascii="Arial" w:hAnsi="Arial" w:cs="Arial"/>
          <w:b w:val="0"/>
          <w:sz w:val="24"/>
          <w:szCs w:val="24"/>
        </w:rPr>
        <w:t>8</w:t>
      </w:r>
      <w:r w:rsidRPr="00005D84">
        <w:rPr>
          <w:rFonts w:ascii="Arial" w:hAnsi="Arial" w:cs="Arial"/>
          <w:b w:val="0"/>
          <w:sz w:val="24"/>
          <w:szCs w:val="24"/>
        </w:rPr>
        <w:t>5 days</w:t>
      </w:r>
      <w:r w:rsidR="00D80C9D">
        <w:rPr>
          <w:rFonts w:ascii="Arial" w:hAnsi="Arial" w:cs="Arial"/>
          <w:b w:val="0"/>
          <w:sz w:val="24"/>
          <w:szCs w:val="24"/>
        </w:rPr>
        <w:t xml:space="preserve"> (85 days 2013/14)</w:t>
      </w:r>
      <w:r w:rsidRPr="00005D84">
        <w:rPr>
          <w:rFonts w:ascii="Arial" w:hAnsi="Arial" w:cs="Arial"/>
          <w:b w:val="0"/>
          <w:sz w:val="24"/>
          <w:szCs w:val="24"/>
        </w:rPr>
        <w:t>.</w:t>
      </w:r>
    </w:p>
    <w:p w:rsidR="00005D84" w:rsidRPr="00005D84" w:rsidRDefault="00005D84" w:rsidP="00005D84"/>
    <w:p w:rsidR="00D77E7B" w:rsidRPr="00FE327B" w:rsidRDefault="00D77E7B" w:rsidP="00883B19">
      <w:pPr>
        <w:rPr>
          <w:rFonts w:ascii="Arial" w:hAnsi="Arial" w:cs="Arial"/>
          <w:sz w:val="24"/>
          <w:szCs w:val="24"/>
        </w:rPr>
      </w:pPr>
    </w:p>
    <w:p w:rsidR="00D77E7B" w:rsidRPr="00FE327B" w:rsidRDefault="00BA7A38">
      <w:pPr>
        <w:pStyle w:val="BodyText"/>
        <w:numPr>
          <w:ilvl w:val="0"/>
          <w:numId w:val="1"/>
        </w:numPr>
        <w:rPr>
          <w:rFonts w:ascii="Arial" w:hAnsi="Arial" w:cs="Arial"/>
          <w:b/>
          <w:sz w:val="24"/>
          <w:szCs w:val="24"/>
        </w:rPr>
      </w:pPr>
      <w:r w:rsidRPr="00BA7A38">
        <w:rPr>
          <w:rFonts w:ascii="Arial" w:hAnsi="Arial" w:cs="Arial"/>
          <w:b/>
          <w:sz w:val="24"/>
          <w:szCs w:val="24"/>
        </w:rPr>
        <w:t>Scope, responsibilities and assurance</w:t>
      </w:r>
    </w:p>
    <w:p w:rsidR="00D77E7B" w:rsidRPr="00FE327B" w:rsidRDefault="00BA7A38" w:rsidP="00E10D69">
      <w:pPr>
        <w:pStyle w:val="Heading1"/>
        <w:numPr>
          <w:ilvl w:val="1"/>
          <w:numId w:val="1"/>
        </w:numPr>
        <w:spacing w:before="120" w:after="0" w:line="240" w:lineRule="auto"/>
        <w:rPr>
          <w:rFonts w:ascii="Arial" w:hAnsi="Arial" w:cs="Arial"/>
          <w:b w:val="0"/>
          <w:sz w:val="24"/>
          <w:szCs w:val="24"/>
        </w:rPr>
      </w:pPr>
      <w:r w:rsidRPr="00BA7A38">
        <w:rPr>
          <w:rFonts w:ascii="Arial" w:hAnsi="Arial" w:cs="Arial"/>
          <w:b w:val="0"/>
          <w:sz w:val="24"/>
          <w:szCs w:val="24"/>
        </w:rPr>
        <w:t xml:space="preserve">Details of the scope of our work, and management's and internal audit's responsibilities regarding systems of risk management, internal control are explained in pages </w:t>
      </w:r>
      <w:r w:rsidR="00AF2695">
        <w:rPr>
          <w:rFonts w:ascii="Arial" w:hAnsi="Arial" w:cs="Arial"/>
          <w:b w:val="0"/>
          <w:sz w:val="24"/>
          <w:szCs w:val="24"/>
        </w:rPr>
        <w:t>8</w:t>
      </w:r>
      <w:r w:rsidR="005C460B">
        <w:rPr>
          <w:rFonts w:ascii="Arial" w:hAnsi="Arial" w:cs="Arial"/>
          <w:b w:val="0"/>
          <w:sz w:val="24"/>
          <w:szCs w:val="24"/>
        </w:rPr>
        <w:t xml:space="preserve"> </w:t>
      </w:r>
      <w:r w:rsidR="001A0118" w:rsidRPr="00BA7A38">
        <w:rPr>
          <w:rFonts w:ascii="Arial" w:hAnsi="Arial" w:cs="Arial"/>
          <w:b w:val="0"/>
          <w:sz w:val="24"/>
          <w:szCs w:val="24"/>
        </w:rPr>
        <w:t>and</w:t>
      </w:r>
      <w:r w:rsidR="003D08E7">
        <w:rPr>
          <w:rFonts w:ascii="Arial" w:hAnsi="Arial" w:cs="Arial"/>
          <w:b w:val="0"/>
          <w:sz w:val="24"/>
          <w:szCs w:val="24"/>
        </w:rPr>
        <w:t xml:space="preserve"> </w:t>
      </w:r>
      <w:r w:rsidR="00AF2695">
        <w:rPr>
          <w:rFonts w:ascii="Arial" w:hAnsi="Arial" w:cs="Arial"/>
          <w:b w:val="0"/>
          <w:sz w:val="24"/>
          <w:szCs w:val="24"/>
        </w:rPr>
        <w:t>9</w:t>
      </w:r>
      <w:r w:rsidR="001A0118">
        <w:rPr>
          <w:rFonts w:ascii="Arial" w:hAnsi="Arial" w:cs="Arial"/>
          <w:b w:val="0"/>
          <w:sz w:val="24"/>
          <w:szCs w:val="24"/>
        </w:rPr>
        <w:t xml:space="preserve">. </w:t>
      </w:r>
      <w:r w:rsidRPr="00BA7A38">
        <w:rPr>
          <w:rFonts w:ascii="Arial" w:hAnsi="Arial" w:cs="Arial"/>
          <w:b w:val="0"/>
          <w:sz w:val="24"/>
          <w:szCs w:val="24"/>
        </w:rPr>
        <w:t>This sets out the basis of our assessment and limitations on the assurance that we can provide.</w:t>
      </w:r>
    </w:p>
    <w:p w:rsidR="00AF2695" w:rsidRDefault="00AF2695">
      <w:pPr>
        <w:pStyle w:val="BodyText"/>
        <w:ind w:left="900"/>
        <w:rPr>
          <w:rFonts w:ascii="Arial" w:hAnsi="Arial" w:cs="Arial"/>
          <w:i/>
          <w:sz w:val="24"/>
          <w:szCs w:val="24"/>
        </w:rPr>
      </w:pPr>
    </w:p>
    <w:p w:rsidR="00D77E7B" w:rsidRPr="00FE327B" w:rsidRDefault="00B0454E">
      <w:pPr>
        <w:pStyle w:val="BodyText"/>
        <w:ind w:left="900"/>
        <w:rPr>
          <w:rFonts w:ascii="Arial" w:hAnsi="Arial" w:cs="Arial"/>
          <w:i/>
          <w:sz w:val="24"/>
          <w:szCs w:val="24"/>
        </w:rPr>
      </w:pPr>
      <w:r>
        <w:rPr>
          <w:rFonts w:ascii="Arial" w:hAnsi="Arial" w:cs="Arial"/>
          <w:i/>
          <w:sz w:val="24"/>
          <w:szCs w:val="24"/>
        </w:rPr>
        <w:t>Access to this report and responsibility to third parties</w:t>
      </w:r>
    </w:p>
    <w:p w:rsidR="00D77E7B" w:rsidRDefault="00BA7A38" w:rsidP="00E10D69">
      <w:pPr>
        <w:pStyle w:val="Heading1"/>
        <w:numPr>
          <w:ilvl w:val="1"/>
          <w:numId w:val="1"/>
        </w:numPr>
        <w:spacing w:before="120" w:after="0" w:line="240" w:lineRule="auto"/>
        <w:rPr>
          <w:rFonts w:ascii="Arial" w:hAnsi="Arial"/>
          <w:b w:val="0"/>
          <w:sz w:val="24"/>
        </w:rPr>
      </w:pPr>
      <w:r w:rsidRPr="00BA7A38">
        <w:rPr>
          <w:rFonts w:ascii="Arial" w:hAnsi="Arial" w:cs="Arial"/>
          <w:b w:val="0"/>
          <w:sz w:val="24"/>
          <w:szCs w:val="24"/>
        </w:rPr>
        <w:t>We have prepared this report solely for Lancashire County Council</w:t>
      </w:r>
      <w:r w:rsidR="001E59A6">
        <w:rPr>
          <w:rFonts w:ascii="Arial" w:hAnsi="Arial" w:cs="Arial"/>
          <w:b w:val="0"/>
          <w:sz w:val="24"/>
          <w:szCs w:val="24"/>
        </w:rPr>
        <w:t xml:space="preserve">, and the </w:t>
      </w:r>
      <w:r w:rsidR="003D08E7">
        <w:rPr>
          <w:rFonts w:ascii="Arial" w:hAnsi="Arial" w:cs="Arial"/>
          <w:b w:val="0"/>
          <w:sz w:val="24"/>
          <w:szCs w:val="24"/>
        </w:rPr>
        <w:t>P</w:t>
      </w:r>
      <w:r w:rsidR="001E59A6">
        <w:rPr>
          <w:rFonts w:ascii="Arial" w:hAnsi="Arial" w:cs="Arial"/>
          <w:b w:val="0"/>
          <w:sz w:val="24"/>
          <w:szCs w:val="24"/>
        </w:rPr>
        <w:t xml:space="preserve">ension Fund Committee. </w:t>
      </w:r>
      <w:r w:rsidRPr="00BA7A38">
        <w:rPr>
          <w:rFonts w:ascii="Arial" w:hAnsi="Arial" w:cs="Arial"/>
          <w:b w:val="0"/>
          <w:sz w:val="24"/>
          <w:szCs w:val="24"/>
        </w:rPr>
        <w:t xml:space="preserve">As you are aware, this report forms part of a continuing dialogue </w:t>
      </w:r>
      <w:r w:rsidR="00D77E7B" w:rsidRPr="00E10D69">
        <w:rPr>
          <w:rFonts w:ascii="Arial" w:hAnsi="Arial" w:cs="Arial"/>
          <w:b w:val="0"/>
          <w:sz w:val="24"/>
          <w:szCs w:val="24"/>
        </w:rPr>
        <w:t xml:space="preserve">between the Internal Audit Service, the </w:t>
      </w:r>
      <w:r w:rsidR="00A22257">
        <w:rPr>
          <w:rFonts w:ascii="Arial" w:hAnsi="Arial" w:cs="Arial"/>
          <w:b w:val="0"/>
          <w:sz w:val="24"/>
          <w:szCs w:val="24"/>
        </w:rPr>
        <w:t>Treasurer to the Fund</w:t>
      </w:r>
      <w:r w:rsidR="00D77E7B" w:rsidRPr="00E10D69">
        <w:rPr>
          <w:rFonts w:ascii="Arial" w:hAnsi="Arial" w:cs="Arial"/>
          <w:b w:val="0"/>
          <w:sz w:val="24"/>
          <w:szCs w:val="24"/>
        </w:rPr>
        <w:t xml:space="preserve">, </w:t>
      </w:r>
      <w:r w:rsidR="00A22257">
        <w:rPr>
          <w:rFonts w:ascii="Arial" w:hAnsi="Arial" w:cs="Arial"/>
          <w:b w:val="0"/>
          <w:sz w:val="24"/>
          <w:szCs w:val="24"/>
        </w:rPr>
        <w:t>and the Pension Fund Committee. I</w:t>
      </w:r>
      <w:r w:rsidR="00D77E7B" w:rsidRPr="00E10D69">
        <w:rPr>
          <w:rFonts w:ascii="Arial" w:hAnsi="Arial" w:cs="Arial"/>
          <w:b w:val="0"/>
          <w:sz w:val="24"/>
          <w:szCs w:val="24"/>
        </w:rPr>
        <w:t>t is not therefore inte</w:t>
      </w:r>
      <w:r w:rsidR="00D77E7B" w:rsidRPr="00E10D69">
        <w:rPr>
          <w:rFonts w:ascii="Arial" w:hAnsi="Arial"/>
          <w:b w:val="0"/>
          <w:sz w:val="24"/>
        </w:rPr>
        <w:t>nded to include every matter that came to our attention during each internal audit review.</w:t>
      </w:r>
    </w:p>
    <w:p w:rsidR="00D77E7B" w:rsidRPr="00E10D69" w:rsidRDefault="00D77E7B" w:rsidP="00E10D69"/>
    <w:p w:rsidR="00D77E7B" w:rsidRDefault="00D77E7B" w:rsidP="00E10D69">
      <w:pPr>
        <w:pStyle w:val="Heading1"/>
        <w:numPr>
          <w:ilvl w:val="1"/>
          <w:numId w:val="1"/>
        </w:numPr>
        <w:spacing w:before="120" w:after="0" w:line="240" w:lineRule="auto"/>
        <w:rPr>
          <w:rFonts w:ascii="Arial" w:hAnsi="Arial"/>
          <w:b w:val="0"/>
          <w:sz w:val="24"/>
        </w:rPr>
      </w:pPr>
      <w:r w:rsidRPr="00E10D69">
        <w:rPr>
          <w:rFonts w:ascii="Arial" w:hAnsi="Arial"/>
          <w:b w:val="0"/>
          <w:sz w:val="24"/>
        </w:rPr>
        <w:t>We acknowledge that this report may be made available to other parties, such as the external auditors. We accept no responsibility to any third party who may receive this report for any reliance that they may place on it and, in particular, we expect the external auditors to determine for themselves the extent to which they choose to utilise our work.</w:t>
      </w:r>
    </w:p>
    <w:p w:rsidR="003D08E7" w:rsidRDefault="003D08E7" w:rsidP="003D08E7"/>
    <w:p w:rsidR="00D77E7B" w:rsidRDefault="00D77E7B">
      <w:pPr>
        <w:pStyle w:val="BodyText"/>
        <w:numPr>
          <w:ilvl w:val="0"/>
          <w:numId w:val="1"/>
        </w:numPr>
        <w:rPr>
          <w:rFonts w:ascii="Arial" w:hAnsi="Arial"/>
          <w:b/>
          <w:sz w:val="24"/>
        </w:rPr>
      </w:pPr>
      <w:r>
        <w:rPr>
          <w:rFonts w:ascii="Arial" w:hAnsi="Arial"/>
          <w:b/>
          <w:sz w:val="24"/>
        </w:rPr>
        <w:lastRenderedPageBreak/>
        <w:t>Summary of findings</w:t>
      </w:r>
    </w:p>
    <w:p w:rsidR="00D77E7B" w:rsidRDefault="00D77E7B" w:rsidP="008A4F16">
      <w:pPr>
        <w:pStyle w:val="BodyText"/>
        <w:ind w:left="709"/>
        <w:rPr>
          <w:rFonts w:ascii="Arial" w:hAnsi="Arial"/>
          <w:b/>
          <w:i/>
          <w:sz w:val="24"/>
        </w:rPr>
      </w:pPr>
      <w:r>
        <w:rPr>
          <w:rFonts w:ascii="Arial" w:hAnsi="Arial"/>
          <w:b/>
          <w:i/>
          <w:sz w:val="24"/>
        </w:rPr>
        <w:t>Overall summary and assurance provided</w:t>
      </w:r>
    </w:p>
    <w:p w:rsidR="00D77E7B" w:rsidRDefault="00D77E7B" w:rsidP="008A4F16">
      <w:pPr>
        <w:pStyle w:val="BodyText"/>
        <w:numPr>
          <w:ilvl w:val="1"/>
          <w:numId w:val="1"/>
        </w:numPr>
        <w:tabs>
          <w:tab w:val="clear" w:pos="851"/>
        </w:tabs>
        <w:ind w:left="709" w:hanging="709"/>
        <w:rPr>
          <w:rFonts w:ascii="Arial" w:hAnsi="Arial"/>
          <w:sz w:val="24"/>
        </w:rPr>
      </w:pPr>
      <w:r>
        <w:rPr>
          <w:rFonts w:ascii="Arial" w:hAnsi="Arial"/>
          <w:sz w:val="24"/>
        </w:rPr>
        <w:t>We have set out in the table on page</w:t>
      </w:r>
      <w:r w:rsidR="006335AC">
        <w:rPr>
          <w:rFonts w:ascii="Arial" w:hAnsi="Arial"/>
          <w:sz w:val="24"/>
        </w:rPr>
        <w:t xml:space="preserve"> </w:t>
      </w:r>
      <w:r w:rsidR="005C460B">
        <w:rPr>
          <w:rFonts w:ascii="Arial" w:hAnsi="Arial"/>
          <w:sz w:val="24"/>
        </w:rPr>
        <w:t>7</w:t>
      </w:r>
      <w:r>
        <w:rPr>
          <w:rFonts w:ascii="Arial" w:hAnsi="Arial"/>
          <w:sz w:val="24"/>
        </w:rPr>
        <w:t xml:space="preserve"> below a brief summary of each review undertaken during this year. This sets out the planned and actual days we have spent on each review, and a summary of the assurance we have been able to provide in relation to each system or operational area of your business. The key issues/comments encapsulate the significant issues and areas where key recommendations were made. They reflect the findings at the time the work was carried out.</w:t>
      </w:r>
    </w:p>
    <w:p w:rsidR="00D77E7B" w:rsidRDefault="00D77E7B" w:rsidP="008A4F16">
      <w:pPr>
        <w:pStyle w:val="BodyText"/>
        <w:numPr>
          <w:ilvl w:val="1"/>
          <w:numId w:val="1"/>
        </w:numPr>
        <w:tabs>
          <w:tab w:val="clear" w:pos="851"/>
          <w:tab w:val="num" w:pos="709"/>
        </w:tabs>
        <w:ind w:left="709" w:hanging="709"/>
        <w:rPr>
          <w:rFonts w:ascii="Arial" w:hAnsi="Arial"/>
          <w:sz w:val="24"/>
        </w:rPr>
      </w:pPr>
      <w:r>
        <w:rPr>
          <w:rFonts w:ascii="Arial" w:hAnsi="Arial"/>
          <w:sz w:val="24"/>
        </w:rPr>
        <w:t>We have distilled the assurance into a</w:t>
      </w:r>
      <w:r w:rsidR="001E59A6">
        <w:rPr>
          <w:rFonts w:ascii="Arial" w:hAnsi="Arial"/>
          <w:sz w:val="24"/>
        </w:rPr>
        <w:t xml:space="preserve">n assessment of the adequacy of </w:t>
      </w:r>
      <w:r>
        <w:rPr>
          <w:rFonts w:ascii="Arial" w:hAnsi="Arial"/>
          <w:sz w:val="24"/>
        </w:rPr>
        <w:t>each system, and its effectiveness in operation.</w:t>
      </w:r>
    </w:p>
    <w:p w:rsidR="00D77E7B" w:rsidRDefault="00D77E7B" w:rsidP="008A4F16">
      <w:pPr>
        <w:pStyle w:val="BodyText"/>
        <w:numPr>
          <w:ilvl w:val="1"/>
          <w:numId w:val="1"/>
        </w:numPr>
        <w:tabs>
          <w:tab w:val="clear" w:pos="851"/>
          <w:tab w:val="num" w:pos="709"/>
        </w:tabs>
        <w:ind w:left="709" w:hanging="709"/>
        <w:rPr>
          <w:rFonts w:ascii="Arial" w:hAnsi="Arial"/>
          <w:sz w:val="24"/>
        </w:rPr>
      </w:pPr>
      <w:r>
        <w:rPr>
          <w:rFonts w:ascii="Arial" w:hAnsi="Arial"/>
          <w:b/>
          <w:i/>
          <w:sz w:val="24"/>
        </w:rPr>
        <w:t>System adequacy</w:t>
      </w:r>
      <w:r>
        <w:rPr>
          <w:rFonts w:ascii="Arial" w:hAnsi="Arial"/>
          <w:sz w:val="24"/>
        </w:rPr>
        <w:t>:  We have defined a system as adequate if its design enables it to achieve its core control objectives which, if operating as intended, serve to manage its inherent risks.</w:t>
      </w:r>
    </w:p>
    <w:p w:rsidR="00D77E7B" w:rsidRDefault="00D77E7B" w:rsidP="008A4F16">
      <w:pPr>
        <w:pStyle w:val="BodyText"/>
        <w:numPr>
          <w:ilvl w:val="1"/>
          <w:numId w:val="1"/>
        </w:numPr>
        <w:tabs>
          <w:tab w:val="clear" w:pos="851"/>
          <w:tab w:val="num" w:pos="709"/>
        </w:tabs>
        <w:ind w:left="709" w:hanging="709"/>
        <w:rPr>
          <w:rFonts w:ascii="Arial" w:hAnsi="Arial"/>
          <w:sz w:val="24"/>
        </w:rPr>
      </w:pPr>
      <w:r>
        <w:rPr>
          <w:rFonts w:ascii="Arial" w:hAnsi="Arial"/>
          <w:b/>
          <w:i/>
          <w:sz w:val="24"/>
        </w:rPr>
        <w:t>System effectiveness</w:t>
      </w:r>
      <w:r>
        <w:rPr>
          <w:rFonts w:ascii="Arial" w:hAnsi="Arial"/>
          <w:sz w:val="24"/>
        </w:rPr>
        <w:t>:  We have defined a system as operating effectively if, after testing or other supporting evidence has been found, it is operating as intended.</w:t>
      </w:r>
    </w:p>
    <w:p w:rsidR="00D77E7B" w:rsidRDefault="00D77E7B" w:rsidP="008A4F16">
      <w:pPr>
        <w:pStyle w:val="BodyText"/>
        <w:numPr>
          <w:ilvl w:val="1"/>
          <w:numId w:val="1"/>
        </w:numPr>
        <w:tabs>
          <w:tab w:val="clear" w:pos="851"/>
          <w:tab w:val="num" w:pos="709"/>
        </w:tabs>
        <w:ind w:left="709" w:hanging="709"/>
        <w:rPr>
          <w:rFonts w:ascii="Arial" w:hAnsi="Arial"/>
          <w:sz w:val="24"/>
        </w:rPr>
      </w:pPr>
      <w:r>
        <w:rPr>
          <w:rFonts w:ascii="Arial" w:hAnsi="Arial"/>
          <w:sz w:val="24"/>
        </w:rPr>
        <w:t>It is therefore possible that a system would, if operated as intended, provide adequate control over its inherent risks, but that lapses in controls in practice leave the system exposed to risk.</w:t>
      </w:r>
    </w:p>
    <w:p w:rsidR="00D77E7B" w:rsidRDefault="00D77E7B" w:rsidP="008A4F16">
      <w:pPr>
        <w:pStyle w:val="BodyText"/>
        <w:numPr>
          <w:ilvl w:val="1"/>
          <w:numId w:val="1"/>
        </w:numPr>
        <w:tabs>
          <w:tab w:val="clear" w:pos="851"/>
          <w:tab w:val="num" w:pos="709"/>
        </w:tabs>
        <w:ind w:left="709" w:hanging="709"/>
        <w:rPr>
          <w:rFonts w:ascii="Arial" w:hAnsi="Arial"/>
          <w:sz w:val="24"/>
        </w:rPr>
      </w:pPr>
      <w:r>
        <w:rPr>
          <w:rFonts w:ascii="Arial" w:hAnsi="Arial"/>
          <w:sz w:val="24"/>
        </w:rPr>
        <w:t xml:space="preserve">It is also possible that a system may be inadequate in its design, but is nonetheless operating as intended, albeit with inbuilt weaknesses that mean that the control objectives cannot be met.  </w:t>
      </w:r>
    </w:p>
    <w:p w:rsidR="00D77E7B" w:rsidRDefault="00D77E7B" w:rsidP="008A4F16">
      <w:pPr>
        <w:pStyle w:val="BodyText"/>
        <w:numPr>
          <w:ilvl w:val="1"/>
          <w:numId w:val="1"/>
        </w:numPr>
        <w:tabs>
          <w:tab w:val="clear" w:pos="851"/>
          <w:tab w:val="num" w:pos="709"/>
        </w:tabs>
        <w:ind w:left="709" w:hanging="709"/>
        <w:rPr>
          <w:rFonts w:ascii="Arial" w:hAnsi="Arial"/>
          <w:sz w:val="24"/>
        </w:rPr>
      </w:pPr>
      <w:r>
        <w:rPr>
          <w:rFonts w:ascii="Arial" w:hAnsi="Arial"/>
          <w:sz w:val="24"/>
        </w:rPr>
        <w:t>Ideally, a system will be adequately designed to achieve its control objectives, and operated effectively in practice.</w:t>
      </w:r>
    </w:p>
    <w:p w:rsidR="00D77E7B" w:rsidRDefault="00D77E7B" w:rsidP="008A4F16">
      <w:pPr>
        <w:pStyle w:val="BodyText"/>
        <w:numPr>
          <w:ilvl w:val="1"/>
          <w:numId w:val="1"/>
        </w:numPr>
        <w:tabs>
          <w:tab w:val="clear" w:pos="851"/>
          <w:tab w:val="num" w:pos="709"/>
        </w:tabs>
        <w:ind w:left="709" w:hanging="709"/>
        <w:rPr>
          <w:rFonts w:ascii="Arial" w:hAnsi="Arial"/>
          <w:sz w:val="24"/>
        </w:rPr>
      </w:pPr>
      <w:r>
        <w:rPr>
          <w:rFonts w:ascii="Arial" w:hAnsi="Arial"/>
          <w:sz w:val="24"/>
        </w:rPr>
        <w:t>The table below indicates briefly with simple ticks (</w:t>
      </w:r>
      <w:r>
        <w:rPr>
          <w:rFonts w:ascii="Arial" w:hAnsi="Arial"/>
          <w:sz w:val="24"/>
          <w:szCs w:val="24"/>
        </w:rPr>
        <w:sym w:font="Wingdings 2" w:char="F050"/>
      </w:r>
      <w:r>
        <w:rPr>
          <w:rFonts w:ascii="Arial" w:hAnsi="Arial"/>
          <w:sz w:val="24"/>
        </w:rPr>
        <w:t>) and crosses (x) our overall assessment of each system we have reviewed during the year and the assurance you may take from its operation in supporting effective internal control.</w:t>
      </w:r>
    </w:p>
    <w:p w:rsidR="00D77E7B" w:rsidRPr="00A1267B" w:rsidRDefault="00D77E7B" w:rsidP="009424D4">
      <w:pPr>
        <w:pStyle w:val="BodyText"/>
        <w:rPr>
          <w:rFonts w:ascii="Arial" w:hAnsi="Arial"/>
          <w:sz w:val="24"/>
        </w:rPr>
        <w:sectPr w:rsidR="00D77E7B" w:rsidRPr="00A1267B" w:rsidSect="00E14CA2">
          <w:footerReference w:type="default" r:id="rId14"/>
          <w:pgSz w:w="12240" w:h="15840"/>
          <w:pgMar w:top="1440" w:right="1797" w:bottom="1440" w:left="1797" w:header="709" w:footer="709" w:gutter="0"/>
          <w:pgNumType w:start="1"/>
          <w:cols w:space="708"/>
          <w:docGrid w:linePitch="360"/>
        </w:sectPr>
      </w:pPr>
    </w:p>
    <w:p w:rsidR="00D77E7B" w:rsidRDefault="00D77E7B" w:rsidP="00282D28">
      <w:pPr>
        <w:pStyle w:val="BodyText"/>
        <w:ind w:left="-360" w:firstLine="360"/>
        <w:rPr>
          <w:rFonts w:ascii="Arial" w:hAnsi="Arial" w:cs="Arial"/>
          <w:b/>
        </w:rPr>
      </w:pPr>
      <w:r>
        <w:rPr>
          <w:rFonts w:ascii="Arial" w:hAnsi="Arial" w:cs="Arial"/>
          <w:b/>
        </w:rPr>
        <w:lastRenderedPageBreak/>
        <w:t>Summary of our findings and assurance</w:t>
      </w:r>
    </w:p>
    <w:tbl>
      <w:tblPr>
        <w:tblW w:w="13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959"/>
        <w:gridCol w:w="992"/>
        <w:gridCol w:w="1134"/>
        <w:gridCol w:w="1134"/>
        <w:gridCol w:w="1418"/>
        <w:gridCol w:w="5513"/>
      </w:tblGrid>
      <w:tr w:rsidR="00D77E7B" w:rsidTr="00DF2004">
        <w:trPr>
          <w:cantSplit/>
          <w:tblHeader/>
        </w:trPr>
        <w:tc>
          <w:tcPr>
            <w:tcW w:w="2160" w:type="dxa"/>
            <w:tcBorders>
              <w:bottom w:val="nil"/>
            </w:tcBorders>
            <w:shd w:val="clear" w:color="auto" w:fill="FFFFFF"/>
          </w:tcPr>
          <w:p w:rsidR="00D77E7B" w:rsidRDefault="00D77E7B" w:rsidP="005D758D">
            <w:pPr>
              <w:pStyle w:val="TableColumnHeader"/>
              <w:spacing w:before="60" w:after="60" w:line="240" w:lineRule="auto"/>
              <w:rPr>
                <w:rFonts w:ascii="Arial" w:hAnsi="Arial" w:cs="Arial"/>
              </w:rPr>
            </w:pPr>
            <w:r>
              <w:rPr>
                <w:rFonts w:ascii="Arial" w:hAnsi="Arial" w:cs="Arial"/>
              </w:rPr>
              <w:t>Review area</w:t>
            </w:r>
          </w:p>
        </w:tc>
        <w:tc>
          <w:tcPr>
            <w:tcW w:w="3085" w:type="dxa"/>
            <w:gridSpan w:val="3"/>
            <w:shd w:val="clear" w:color="auto" w:fill="FFFFFF"/>
          </w:tcPr>
          <w:p w:rsidR="00D77E7B" w:rsidRDefault="00D77E7B" w:rsidP="005D758D">
            <w:pPr>
              <w:pStyle w:val="TableColumnHeader"/>
              <w:spacing w:before="60" w:after="60" w:line="240" w:lineRule="auto"/>
              <w:jc w:val="center"/>
              <w:rPr>
                <w:rFonts w:ascii="Arial" w:hAnsi="Arial" w:cs="Arial"/>
              </w:rPr>
            </w:pPr>
            <w:r>
              <w:rPr>
                <w:rFonts w:ascii="Arial" w:hAnsi="Arial" w:cs="Arial"/>
              </w:rPr>
              <w:t>Audit days</w:t>
            </w:r>
          </w:p>
        </w:tc>
        <w:tc>
          <w:tcPr>
            <w:tcW w:w="2552" w:type="dxa"/>
            <w:gridSpan w:val="2"/>
            <w:shd w:val="clear" w:color="auto" w:fill="FFFFFF"/>
          </w:tcPr>
          <w:p w:rsidR="00D77E7B" w:rsidRDefault="00D77E7B" w:rsidP="005D758D">
            <w:pPr>
              <w:pStyle w:val="TableColumnHeader"/>
              <w:spacing w:before="60" w:after="60" w:line="240" w:lineRule="auto"/>
              <w:jc w:val="center"/>
              <w:rPr>
                <w:rFonts w:ascii="Arial" w:hAnsi="Arial" w:cs="Arial"/>
              </w:rPr>
            </w:pPr>
            <w:r>
              <w:rPr>
                <w:rFonts w:ascii="Arial" w:hAnsi="Arial" w:cs="Arial"/>
              </w:rPr>
              <w:t>Assurance</w:t>
            </w:r>
          </w:p>
        </w:tc>
        <w:tc>
          <w:tcPr>
            <w:tcW w:w="5513" w:type="dxa"/>
            <w:shd w:val="clear" w:color="auto" w:fill="FFFFFF"/>
          </w:tcPr>
          <w:p w:rsidR="00D77E7B" w:rsidRDefault="00D77E7B" w:rsidP="005D758D">
            <w:pPr>
              <w:pStyle w:val="TableColumnHeader"/>
              <w:spacing w:before="60" w:after="60" w:line="240" w:lineRule="auto"/>
              <w:jc w:val="center"/>
              <w:rPr>
                <w:rFonts w:ascii="Arial" w:hAnsi="Arial" w:cs="Arial"/>
              </w:rPr>
            </w:pPr>
            <w:r>
              <w:rPr>
                <w:rFonts w:ascii="Arial" w:hAnsi="Arial" w:cs="Arial"/>
              </w:rPr>
              <w:t>Key issues / Comments</w:t>
            </w:r>
          </w:p>
        </w:tc>
      </w:tr>
      <w:tr w:rsidR="00D77E7B" w:rsidTr="00DF2004">
        <w:trPr>
          <w:cantSplit/>
          <w:tblHeader/>
        </w:trPr>
        <w:tc>
          <w:tcPr>
            <w:tcW w:w="2160" w:type="dxa"/>
            <w:tcBorders>
              <w:top w:val="nil"/>
            </w:tcBorders>
            <w:shd w:val="clear" w:color="auto" w:fill="FFFFFF"/>
          </w:tcPr>
          <w:p w:rsidR="00D77E7B" w:rsidRDefault="00D77E7B" w:rsidP="005D758D">
            <w:pPr>
              <w:pStyle w:val="TableText"/>
              <w:spacing w:before="60" w:after="60" w:line="240" w:lineRule="auto"/>
              <w:rPr>
                <w:rFonts w:ascii="Arial" w:hAnsi="Arial" w:cs="Arial"/>
              </w:rPr>
            </w:pPr>
          </w:p>
        </w:tc>
        <w:tc>
          <w:tcPr>
            <w:tcW w:w="959" w:type="dxa"/>
            <w:shd w:val="clear" w:color="auto" w:fill="FFFFFF"/>
          </w:tcPr>
          <w:p w:rsidR="00D77E7B" w:rsidRDefault="00D77E7B" w:rsidP="005D758D">
            <w:pPr>
              <w:pStyle w:val="TableText"/>
              <w:spacing w:before="60" w:after="60" w:line="240" w:lineRule="auto"/>
              <w:jc w:val="center"/>
              <w:rPr>
                <w:rFonts w:ascii="Arial" w:hAnsi="Arial" w:cs="Arial"/>
              </w:rPr>
            </w:pPr>
            <w:r>
              <w:rPr>
                <w:rFonts w:ascii="Arial" w:hAnsi="Arial" w:cs="Arial"/>
              </w:rPr>
              <w:t>Planned</w:t>
            </w:r>
          </w:p>
        </w:tc>
        <w:tc>
          <w:tcPr>
            <w:tcW w:w="992" w:type="dxa"/>
            <w:shd w:val="clear" w:color="auto" w:fill="FFFFFF"/>
          </w:tcPr>
          <w:p w:rsidR="00D77E7B" w:rsidRDefault="00D77E7B" w:rsidP="005D758D">
            <w:pPr>
              <w:pStyle w:val="TableText"/>
              <w:spacing w:before="60" w:after="60" w:line="240" w:lineRule="auto"/>
              <w:jc w:val="center"/>
              <w:rPr>
                <w:rFonts w:ascii="Arial" w:hAnsi="Arial" w:cs="Arial"/>
              </w:rPr>
            </w:pPr>
            <w:r>
              <w:rPr>
                <w:rFonts w:ascii="Arial" w:hAnsi="Arial" w:cs="Arial"/>
              </w:rPr>
              <w:t>Actual</w:t>
            </w:r>
          </w:p>
        </w:tc>
        <w:tc>
          <w:tcPr>
            <w:tcW w:w="1134" w:type="dxa"/>
            <w:shd w:val="clear" w:color="auto" w:fill="FFFFFF"/>
          </w:tcPr>
          <w:p w:rsidR="00D77E7B" w:rsidRDefault="00D77E7B" w:rsidP="005D758D">
            <w:pPr>
              <w:pStyle w:val="TableText"/>
              <w:spacing w:before="60" w:after="60" w:line="240" w:lineRule="auto"/>
              <w:ind w:left="44"/>
              <w:jc w:val="center"/>
              <w:rPr>
                <w:rFonts w:ascii="Arial" w:hAnsi="Arial" w:cs="Arial"/>
              </w:rPr>
            </w:pPr>
            <w:r>
              <w:rPr>
                <w:rFonts w:ascii="Arial" w:hAnsi="Arial" w:cs="Arial"/>
              </w:rPr>
              <w:t>Variation</w:t>
            </w:r>
          </w:p>
        </w:tc>
        <w:tc>
          <w:tcPr>
            <w:tcW w:w="1134" w:type="dxa"/>
            <w:shd w:val="clear" w:color="auto" w:fill="FFFFFF"/>
          </w:tcPr>
          <w:p w:rsidR="00D77E7B" w:rsidRDefault="00D77E7B">
            <w:pPr>
              <w:pStyle w:val="TableText"/>
              <w:spacing w:before="60" w:after="60" w:line="240" w:lineRule="auto"/>
              <w:jc w:val="center"/>
              <w:rPr>
                <w:rFonts w:ascii="Arial" w:hAnsi="Arial" w:cs="Arial"/>
              </w:rPr>
            </w:pPr>
            <w:r>
              <w:rPr>
                <w:rFonts w:ascii="Arial" w:hAnsi="Arial" w:cs="Arial"/>
              </w:rPr>
              <w:t>Adequacy</w:t>
            </w:r>
          </w:p>
        </w:tc>
        <w:tc>
          <w:tcPr>
            <w:tcW w:w="1418" w:type="dxa"/>
            <w:shd w:val="clear" w:color="auto" w:fill="FFFFFF"/>
          </w:tcPr>
          <w:p w:rsidR="00D77E7B" w:rsidRDefault="00D77E7B">
            <w:pPr>
              <w:pStyle w:val="TableText"/>
              <w:spacing w:before="60" w:after="60" w:line="240" w:lineRule="auto"/>
              <w:jc w:val="center"/>
              <w:rPr>
                <w:rFonts w:ascii="Arial" w:hAnsi="Arial" w:cs="Arial"/>
              </w:rPr>
            </w:pPr>
            <w:r>
              <w:rPr>
                <w:rFonts w:ascii="Arial" w:hAnsi="Arial" w:cs="Arial"/>
              </w:rPr>
              <w:t>Effectiveness</w:t>
            </w:r>
          </w:p>
        </w:tc>
        <w:tc>
          <w:tcPr>
            <w:tcW w:w="5513" w:type="dxa"/>
            <w:tcBorders>
              <w:top w:val="nil"/>
            </w:tcBorders>
            <w:shd w:val="clear" w:color="auto" w:fill="FFFFFF"/>
          </w:tcPr>
          <w:p w:rsidR="00D77E7B" w:rsidRDefault="00D77E7B">
            <w:pPr>
              <w:pStyle w:val="TableText"/>
              <w:spacing w:before="60" w:after="60" w:line="240" w:lineRule="auto"/>
              <w:rPr>
                <w:rFonts w:ascii="Arial" w:hAnsi="Arial" w:cs="Arial"/>
              </w:rPr>
            </w:pPr>
          </w:p>
        </w:tc>
      </w:tr>
      <w:tr w:rsidR="00D77E7B" w:rsidTr="00151F2D">
        <w:trPr>
          <w:cantSplit/>
        </w:trPr>
        <w:tc>
          <w:tcPr>
            <w:tcW w:w="13310" w:type="dxa"/>
            <w:gridSpan w:val="7"/>
            <w:tcBorders>
              <w:top w:val="nil"/>
              <w:bottom w:val="nil"/>
            </w:tcBorders>
          </w:tcPr>
          <w:p w:rsidR="00D77E7B" w:rsidRDefault="00D77E7B" w:rsidP="005D758D">
            <w:pPr>
              <w:pStyle w:val="TableText"/>
              <w:spacing w:before="60" w:after="60" w:line="240" w:lineRule="auto"/>
              <w:rPr>
                <w:rFonts w:ascii="Arial" w:hAnsi="Arial" w:cs="Arial"/>
                <w:b/>
                <w:i/>
              </w:rPr>
            </w:pPr>
            <w:r>
              <w:rPr>
                <w:rFonts w:ascii="Arial" w:hAnsi="Arial" w:cs="Arial"/>
                <w:b/>
                <w:i/>
              </w:rPr>
              <w:t xml:space="preserve">Audit Areas </w:t>
            </w:r>
          </w:p>
        </w:tc>
      </w:tr>
      <w:tr w:rsidR="006A2022" w:rsidTr="00276B96">
        <w:trPr>
          <w:cantSplit/>
          <w:trHeight w:val="345"/>
        </w:trPr>
        <w:tc>
          <w:tcPr>
            <w:tcW w:w="2160" w:type="dxa"/>
            <w:vMerge w:val="restart"/>
          </w:tcPr>
          <w:p w:rsidR="006A2022" w:rsidRDefault="00FD2AE5" w:rsidP="00FD2AE5">
            <w:pPr>
              <w:pStyle w:val="TableText"/>
              <w:spacing w:before="60" w:after="60" w:line="240" w:lineRule="auto"/>
              <w:rPr>
                <w:rFonts w:ascii="Arial" w:hAnsi="Arial" w:cs="Arial"/>
                <w:b/>
                <w:bCs/>
              </w:rPr>
            </w:pPr>
            <w:r>
              <w:rPr>
                <w:rFonts w:ascii="Arial" w:hAnsi="Arial" w:cs="Arial"/>
                <w:b/>
                <w:bCs/>
              </w:rPr>
              <w:t>I</w:t>
            </w:r>
            <w:r w:rsidR="006A2022">
              <w:rPr>
                <w:rFonts w:ascii="Arial" w:hAnsi="Arial" w:cs="Arial"/>
                <w:b/>
                <w:bCs/>
              </w:rPr>
              <w:t>nvestment strategy</w:t>
            </w:r>
          </w:p>
        </w:tc>
        <w:tc>
          <w:tcPr>
            <w:tcW w:w="959" w:type="dxa"/>
            <w:vMerge w:val="restart"/>
          </w:tcPr>
          <w:p w:rsidR="006A2022" w:rsidRDefault="002D3DA2" w:rsidP="00276B96">
            <w:pPr>
              <w:pStyle w:val="TableText"/>
              <w:spacing w:before="60" w:after="60" w:line="240" w:lineRule="auto"/>
              <w:jc w:val="center"/>
              <w:rPr>
                <w:rFonts w:ascii="Arial" w:hAnsi="Arial" w:cs="Arial"/>
              </w:rPr>
            </w:pPr>
            <w:r>
              <w:rPr>
                <w:rFonts w:ascii="Arial" w:hAnsi="Arial" w:cs="Arial"/>
              </w:rPr>
              <w:t>2</w:t>
            </w:r>
            <w:r w:rsidR="006A2022">
              <w:rPr>
                <w:rFonts w:ascii="Arial" w:hAnsi="Arial" w:cs="Arial"/>
              </w:rPr>
              <w:t>0</w:t>
            </w:r>
          </w:p>
        </w:tc>
        <w:tc>
          <w:tcPr>
            <w:tcW w:w="992" w:type="dxa"/>
            <w:vMerge w:val="restart"/>
          </w:tcPr>
          <w:p w:rsidR="006A2022" w:rsidRDefault="00276B96" w:rsidP="00276B96">
            <w:pPr>
              <w:pStyle w:val="TableText"/>
              <w:spacing w:before="60" w:after="60" w:line="240" w:lineRule="auto"/>
              <w:jc w:val="center"/>
              <w:rPr>
                <w:rFonts w:ascii="Arial" w:hAnsi="Arial" w:cs="Arial"/>
              </w:rPr>
            </w:pPr>
            <w:r>
              <w:rPr>
                <w:rFonts w:ascii="Arial" w:hAnsi="Arial" w:cs="Arial"/>
              </w:rPr>
              <w:t>15</w:t>
            </w:r>
          </w:p>
        </w:tc>
        <w:tc>
          <w:tcPr>
            <w:tcW w:w="1134" w:type="dxa"/>
            <w:vMerge w:val="restart"/>
          </w:tcPr>
          <w:p w:rsidR="006A2022" w:rsidRDefault="00276B96" w:rsidP="00276B96">
            <w:pPr>
              <w:pStyle w:val="TableText"/>
              <w:spacing w:before="60" w:after="60" w:line="240" w:lineRule="auto"/>
              <w:jc w:val="center"/>
              <w:rPr>
                <w:rFonts w:ascii="Arial" w:hAnsi="Arial" w:cs="Arial"/>
              </w:rPr>
            </w:pPr>
            <w:r>
              <w:rPr>
                <w:rFonts w:ascii="Arial" w:hAnsi="Arial" w:cs="Arial"/>
              </w:rPr>
              <w:t>(5)</w:t>
            </w:r>
          </w:p>
        </w:tc>
        <w:tc>
          <w:tcPr>
            <w:tcW w:w="1134" w:type="dxa"/>
          </w:tcPr>
          <w:p w:rsidR="006A2022" w:rsidRDefault="006A2022">
            <w:pPr>
              <w:pStyle w:val="TableText"/>
              <w:spacing w:before="60" w:after="60" w:line="240" w:lineRule="auto"/>
              <w:jc w:val="center"/>
              <w:rPr>
                <w:rFonts w:ascii="Arial" w:hAnsi="Arial" w:cs="Arial"/>
              </w:rPr>
            </w:pPr>
            <w:r>
              <w:rPr>
                <w:rFonts w:ascii="Arial" w:hAnsi="Arial" w:cs="Arial"/>
              </w:rPr>
              <w:sym w:font="Wingdings" w:char="F0FC"/>
            </w:r>
          </w:p>
        </w:tc>
        <w:tc>
          <w:tcPr>
            <w:tcW w:w="1418" w:type="dxa"/>
          </w:tcPr>
          <w:p w:rsidR="006A2022" w:rsidRDefault="006A2022">
            <w:pPr>
              <w:pStyle w:val="TableText"/>
              <w:spacing w:before="60" w:after="60" w:line="240" w:lineRule="auto"/>
              <w:jc w:val="center"/>
              <w:rPr>
                <w:rFonts w:ascii="Arial" w:hAnsi="Arial" w:cs="Arial"/>
              </w:rPr>
            </w:pPr>
            <w:r>
              <w:rPr>
                <w:rFonts w:ascii="Arial" w:hAnsi="Arial" w:cs="Arial"/>
              </w:rPr>
              <w:sym w:font="Wingdings" w:char="F0FC"/>
            </w:r>
          </w:p>
        </w:tc>
        <w:tc>
          <w:tcPr>
            <w:tcW w:w="5513" w:type="dxa"/>
            <w:vMerge w:val="restart"/>
          </w:tcPr>
          <w:p w:rsidR="006A2022" w:rsidRDefault="006A2022" w:rsidP="00AF2695">
            <w:pPr>
              <w:spacing w:before="120" w:after="120"/>
              <w:rPr>
                <w:rFonts w:ascii="Arial" w:hAnsi="Arial" w:cs="Arial"/>
              </w:rPr>
            </w:pPr>
            <w:r>
              <w:rPr>
                <w:rFonts w:ascii="Arial" w:hAnsi="Arial" w:cs="Arial"/>
              </w:rPr>
              <w:t xml:space="preserve">The </w:t>
            </w:r>
            <w:r w:rsidR="00CB33BA">
              <w:rPr>
                <w:rFonts w:ascii="Arial" w:hAnsi="Arial" w:cs="Arial"/>
              </w:rPr>
              <w:t xml:space="preserve">final </w:t>
            </w:r>
            <w:r>
              <w:rPr>
                <w:rFonts w:ascii="Arial" w:hAnsi="Arial" w:cs="Arial"/>
              </w:rPr>
              <w:t>report was issued in</w:t>
            </w:r>
            <w:r w:rsidR="006A3106">
              <w:rPr>
                <w:rFonts w:ascii="Arial" w:hAnsi="Arial" w:cs="Arial"/>
              </w:rPr>
              <w:t xml:space="preserve"> </w:t>
            </w:r>
            <w:r>
              <w:rPr>
                <w:rFonts w:ascii="Arial" w:hAnsi="Arial" w:cs="Arial"/>
              </w:rPr>
              <w:t>May 201</w:t>
            </w:r>
            <w:r w:rsidR="00AF2695">
              <w:rPr>
                <w:rFonts w:ascii="Arial" w:hAnsi="Arial" w:cs="Arial"/>
              </w:rPr>
              <w:t>4</w:t>
            </w:r>
            <w:r w:rsidR="001C2489">
              <w:rPr>
                <w:rFonts w:ascii="Arial" w:hAnsi="Arial" w:cs="Arial"/>
              </w:rPr>
              <w:t>.</w:t>
            </w:r>
          </w:p>
        </w:tc>
      </w:tr>
      <w:tr w:rsidR="006A2022" w:rsidTr="00276B96">
        <w:trPr>
          <w:cantSplit/>
          <w:trHeight w:val="345"/>
        </w:trPr>
        <w:tc>
          <w:tcPr>
            <w:tcW w:w="2160" w:type="dxa"/>
            <w:vMerge/>
          </w:tcPr>
          <w:p w:rsidR="006A2022" w:rsidRDefault="006A2022">
            <w:pPr>
              <w:pStyle w:val="TableText"/>
              <w:spacing w:before="60" w:after="60" w:line="240" w:lineRule="auto"/>
              <w:rPr>
                <w:rFonts w:ascii="Arial" w:hAnsi="Arial" w:cs="Arial"/>
                <w:b/>
                <w:bCs/>
              </w:rPr>
            </w:pPr>
          </w:p>
        </w:tc>
        <w:tc>
          <w:tcPr>
            <w:tcW w:w="959" w:type="dxa"/>
            <w:vMerge/>
          </w:tcPr>
          <w:p w:rsidR="006A2022" w:rsidRDefault="006A2022" w:rsidP="00276B96">
            <w:pPr>
              <w:pStyle w:val="TableText"/>
              <w:spacing w:before="60" w:after="60" w:line="240" w:lineRule="auto"/>
              <w:jc w:val="center"/>
              <w:rPr>
                <w:rFonts w:ascii="Arial" w:hAnsi="Arial" w:cs="Arial"/>
              </w:rPr>
            </w:pPr>
          </w:p>
        </w:tc>
        <w:tc>
          <w:tcPr>
            <w:tcW w:w="992" w:type="dxa"/>
            <w:vMerge/>
          </w:tcPr>
          <w:p w:rsidR="006A2022" w:rsidRDefault="006A2022" w:rsidP="00276B96">
            <w:pPr>
              <w:pStyle w:val="TableText"/>
              <w:spacing w:before="60" w:after="60" w:line="240" w:lineRule="auto"/>
              <w:jc w:val="center"/>
              <w:rPr>
                <w:rFonts w:ascii="Arial" w:hAnsi="Arial" w:cs="Arial"/>
              </w:rPr>
            </w:pPr>
          </w:p>
        </w:tc>
        <w:tc>
          <w:tcPr>
            <w:tcW w:w="1134" w:type="dxa"/>
            <w:vMerge/>
          </w:tcPr>
          <w:p w:rsidR="006A2022" w:rsidRDefault="006A2022" w:rsidP="00276B96">
            <w:pPr>
              <w:pStyle w:val="TableText"/>
              <w:spacing w:before="60" w:after="60" w:line="240" w:lineRule="auto"/>
              <w:jc w:val="center"/>
              <w:rPr>
                <w:rFonts w:ascii="Arial" w:hAnsi="Arial" w:cs="Arial"/>
              </w:rPr>
            </w:pPr>
          </w:p>
        </w:tc>
        <w:tc>
          <w:tcPr>
            <w:tcW w:w="2552" w:type="dxa"/>
            <w:gridSpan w:val="2"/>
          </w:tcPr>
          <w:p w:rsidR="006A2022" w:rsidRDefault="00692D4F">
            <w:pPr>
              <w:pStyle w:val="TableText"/>
              <w:spacing w:before="60" w:after="60" w:line="240" w:lineRule="auto"/>
              <w:jc w:val="center"/>
              <w:rPr>
                <w:rFonts w:ascii="Arial" w:hAnsi="Arial"/>
              </w:rPr>
            </w:pPr>
            <w:r>
              <w:rPr>
                <w:rFonts w:ascii="Arial" w:hAnsi="Arial"/>
              </w:rPr>
              <w:t>Full</w:t>
            </w:r>
            <w:r w:rsidR="00FF75EE">
              <w:rPr>
                <w:rFonts w:ascii="Arial" w:hAnsi="Arial"/>
              </w:rPr>
              <w:t xml:space="preserve"> assurance</w:t>
            </w:r>
          </w:p>
        </w:tc>
        <w:tc>
          <w:tcPr>
            <w:tcW w:w="5513" w:type="dxa"/>
            <w:vMerge/>
          </w:tcPr>
          <w:p w:rsidR="006A2022" w:rsidRDefault="006A2022">
            <w:pPr>
              <w:pStyle w:val="TableText"/>
              <w:spacing w:before="60" w:after="60" w:line="240" w:lineRule="auto"/>
              <w:rPr>
                <w:rFonts w:ascii="Arial" w:hAnsi="Arial" w:cs="Arial"/>
              </w:rPr>
            </w:pPr>
          </w:p>
        </w:tc>
      </w:tr>
      <w:tr w:rsidR="006A2022" w:rsidTr="00276B96">
        <w:trPr>
          <w:cantSplit/>
          <w:trHeight w:val="173"/>
        </w:trPr>
        <w:tc>
          <w:tcPr>
            <w:tcW w:w="2160" w:type="dxa"/>
            <w:vMerge w:val="restart"/>
          </w:tcPr>
          <w:p w:rsidR="006A2022" w:rsidRDefault="00AD681A" w:rsidP="001971A6">
            <w:pPr>
              <w:pStyle w:val="TableText"/>
              <w:spacing w:before="60" w:after="60" w:line="240" w:lineRule="auto"/>
              <w:rPr>
                <w:rFonts w:ascii="Arial" w:hAnsi="Arial" w:cs="Arial"/>
                <w:b/>
                <w:bCs/>
              </w:rPr>
            </w:pPr>
            <w:r>
              <w:rPr>
                <w:rFonts w:ascii="Arial" w:hAnsi="Arial" w:cs="Arial"/>
                <w:b/>
                <w:bCs/>
              </w:rPr>
              <w:t>General ledger</w:t>
            </w:r>
          </w:p>
        </w:tc>
        <w:tc>
          <w:tcPr>
            <w:tcW w:w="959" w:type="dxa"/>
            <w:vMerge w:val="restart"/>
          </w:tcPr>
          <w:p w:rsidR="006A2022" w:rsidRDefault="006A2022" w:rsidP="00276B96">
            <w:pPr>
              <w:pStyle w:val="TableText"/>
              <w:spacing w:before="60" w:after="60" w:line="240" w:lineRule="auto"/>
              <w:jc w:val="center"/>
              <w:rPr>
                <w:rFonts w:ascii="Arial" w:hAnsi="Arial" w:cs="Arial"/>
              </w:rPr>
            </w:pPr>
            <w:r>
              <w:rPr>
                <w:rFonts w:ascii="Arial" w:hAnsi="Arial" w:cs="Arial"/>
              </w:rPr>
              <w:t>10</w:t>
            </w:r>
          </w:p>
        </w:tc>
        <w:tc>
          <w:tcPr>
            <w:tcW w:w="992" w:type="dxa"/>
            <w:vMerge w:val="restart"/>
          </w:tcPr>
          <w:p w:rsidR="006A2022" w:rsidRDefault="00276B96" w:rsidP="00276B96">
            <w:pPr>
              <w:pStyle w:val="TableText"/>
              <w:spacing w:before="60" w:after="60" w:line="240" w:lineRule="auto"/>
              <w:jc w:val="center"/>
              <w:rPr>
                <w:rFonts w:ascii="Arial" w:hAnsi="Arial" w:cs="Arial"/>
              </w:rPr>
            </w:pPr>
            <w:r>
              <w:rPr>
                <w:rFonts w:ascii="Arial" w:hAnsi="Arial" w:cs="Arial"/>
              </w:rPr>
              <w:t>10</w:t>
            </w:r>
          </w:p>
        </w:tc>
        <w:tc>
          <w:tcPr>
            <w:tcW w:w="1134" w:type="dxa"/>
            <w:vMerge w:val="restart"/>
          </w:tcPr>
          <w:p w:rsidR="006A2022" w:rsidRDefault="00276B96" w:rsidP="00276B96">
            <w:pPr>
              <w:pStyle w:val="TableText"/>
              <w:spacing w:before="60" w:after="60" w:line="240" w:lineRule="auto"/>
              <w:jc w:val="center"/>
              <w:rPr>
                <w:rFonts w:ascii="Arial" w:hAnsi="Arial" w:cs="Arial"/>
              </w:rPr>
            </w:pPr>
            <w:r>
              <w:rPr>
                <w:rFonts w:ascii="Arial" w:hAnsi="Arial" w:cs="Arial"/>
              </w:rPr>
              <w:t>0</w:t>
            </w:r>
          </w:p>
        </w:tc>
        <w:tc>
          <w:tcPr>
            <w:tcW w:w="1134" w:type="dxa"/>
          </w:tcPr>
          <w:p w:rsidR="006A2022" w:rsidRDefault="006A2022">
            <w:pPr>
              <w:pStyle w:val="TableText"/>
              <w:spacing w:before="60" w:after="60" w:line="240" w:lineRule="auto"/>
              <w:jc w:val="center"/>
              <w:rPr>
                <w:rFonts w:ascii="Arial" w:hAnsi="Arial"/>
              </w:rPr>
            </w:pPr>
            <w:r>
              <w:rPr>
                <w:rFonts w:ascii="Arial" w:hAnsi="Arial" w:cs="Arial"/>
              </w:rPr>
              <w:sym w:font="Wingdings" w:char="F0FC"/>
            </w:r>
          </w:p>
        </w:tc>
        <w:tc>
          <w:tcPr>
            <w:tcW w:w="1418" w:type="dxa"/>
          </w:tcPr>
          <w:p w:rsidR="006A2022" w:rsidRDefault="006A2022">
            <w:pPr>
              <w:pStyle w:val="TableText"/>
              <w:spacing w:before="60" w:after="60" w:line="240" w:lineRule="auto"/>
              <w:jc w:val="center"/>
              <w:rPr>
                <w:rFonts w:ascii="Arial" w:hAnsi="Arial"/>
              </w:rPr>
            </w:pPr>
            <w:r>
              <w:rPr>
                <w:rFonts w:ascii="Arial" w:hAnsi="Arial" w:cs="Arial"/>
              </w:rPr>
              <w:sym w:font="Wingdings" w:char="F0FC"/>
            </w:r>
          </w:p>
        </w:tc>
        <w:tc>
          <w:tcPr>
            <w:tcW w:w="5513" w:type="dxa"/>
            <w:vMerge w:val="restart"/>
            <w:vAlign w:val="center"/>
          </w:tcPr>
          <w:p w:rsidR="006A2022" w:rsidRDefault="006A2022">
            <w:pPr>
              <w:pStyle w:val="TableText"/>
              <w:spacing w:before="60" w:after="60" w:line="240" w:lineRule="auto"/>
              <w:rPr>
                <w:rFonts w:ascii="Arial" w:hAnsi="Arial" w:cs="Arial"/>
              </w:rPr>
            </w:pPr>
            <w:r>
              <w:rPr>
                <w:rFonts w:ascii="Arial" w:hAnsi="Arial" w:cs="Arial"/>
              </w:rPr>
              <w:t xml:space="preserve">The </w:t>
            </w:r>
            <w:r w:rsidR="00EC2B89">
              <w:rPr>
                <w:rFonts w:ascii="Arial" w:hAnsi="Arial" w:cs="Arial"/>
              </w:rPr>
              <w:t>draft report was issued in May 2014.</w:t>
            </w:r>
          </w:p>
          <w:p w:rsidR="006A2022" w:rsidRDefault="006A2022">
            <w:pPr>
              <w:pStyle w:val="TableText"/>
              <w:spacing w:before="60" w:after="60" w:line="240" w:lineRule="auto"/>
              <w:rPr>
                <w:rFonts w:ascii="Arial" w:hAnsi="Arial" w:cs="Arial"/>
              </w:rPr>
            </w:pPr>
          </w:p>
        </w:tc>
      </w:tr>
      <w:tr w:rsidR="006A2022" w:rsidTr="00276B96">
        <w:trPr>
          <w:cantSplit/>
          <w:trHeight w:val="172"/>
        </w:trPr>
        <w:tc>
          <w:tcPr>
            <w:tcW w:w="2160" w:type="dxa"/>
            <w:vMerge/>
          </w:tcPr>
          <w:p w:rsidR="006A2022" w:rsidRDefault="006A2022">
            <w:pPr>
              <w:pStyle w:val="TableText"/>
              <w:spacing w:before="60" w:after="60" w:line="240" w:lineRule="auto"/>
              <w:rPr>
                <w:rFonts w:ascii="Arial" w:hAnsi="Arial" w:cs="Arial"/>
                <w:b/>
                <w:bCs/>
              </w:rPr>
            </w:pPr>
          </w:p>
        </w:tc>
        <w:tc>
          <w:tcPr>
            <w:tcW w:w="959" w:type="dxa"/>
            <w:vMerge/>
          </w:tcPr>
          <w:p w:rsidR="006A2022" w:rsidRDefault="006A2022" w:rsidP="00276B96">
            <w:pPr>
              <w:pStyle w:val="TableText"/>
              <w:spacing w:before="60" w:after="60" w:line="240" w:lineRule="auto"/>
              <w:jc w:val="center"/>
              <w:rPr>
                <w:rFonts w:ascii="Arial" w:hAnsi="Arial" w:cs="Arial"/>
              </w:rPr>
            </w:pPr>
          </w:p>
        </w:tc>
        <w:tc>
          <w:tcPr>
            <w:tcW w:w="992" w:type="dxa"/>
            <w:vMerge/>
          </w:tcPr>
          <w:p w:rsidR="006A2022" w:rsidRDefault="006A2022" w:rsidP="00276B96">
            <w:pPr>
              <w:pStyle w:val="TableText"/>
              <w:spacing w:before="60" w:after="60" w:line="240" w:lineRule="auto"/>
              <w:jc w:val="center"/>
              <w:rPr>
                <w:rFonts w:ascii="Arial" w:hAnsi="Arial" w:cs="Arial"/>
              </w:rPr>
            </w:pPr>
          </w:p>
        </w:tc>
        <w:tc>
          <w:tcPr>
            <w:tcW w:w="1134" w:type="dxa"/>
            <w:vMerge/>
          </w:tcPr>
          <w:p w:rsidR="006A2022" w:rsidRDefault="006A2022" w:rsidP="00276B96">
            <w:pPr>
              <w:pStyle w:val="TableText"/>
              <w:spacing w:before="60" w:after="60" w:line="240" w:lineRule="auto"/>
              <w:jc w:val="center"/>
              <w:rPr>
                <w:rFonts w:ascii="Arial" w:hAnsi="Arial" w:cs="Arial"/>
              </w:rPr>
            </w:pPr>
          </w:p>
        </w:tc>
        <w:tc>
          <w:tcPr>
            <w:tcW w:w="2552" w:type="dxa"/>
            <w:gridSpan w:val="2"/>
          </w:tcPr>
          <w:p w:rsidR="006A2022" w:rsidRDefault="00AD681A" w:rsidP="006A2022">
            <w:pPr>
              <w:pStyle w:val="TableText"/>
              <w:spacing w:before="60" w:after="60" w:line="240" w:lineRule="auto"/>
              <w:jc w:val="center"/>
              <w:rPr>
                <w:rFonts w:ascii="Arial" w:hAnsi="Arial"/>
              </w:rPr>
            </w:pPr>
            <w:r>
              <w:rPr>
                <w:rFonts w:ascii="Arial" w:hAnsi="Arial"/>
              </w:rPr>
              <w:t>Substantial</w:t>
            </w:r>
            <w:r w:rsidR="00692D4F">
              <w:rPr>
                <w:rFonts w:ascii="Arial" w:hAnsi="Arial"/>
              </w:rPr>
              <w:t xml:space="preserve"> assurance</w:t>
            </w:r>
            <w:r>
              <w:rPr>
                <w:rFonts w:ascii="Arial" w:hAnsi="Arial"/>
              </w:rPr>
              <w:t xml:space="preserve"> </w:t>
            </w:r>
          </w:p>
        </w:tc>
        <w:tc>
          <w:tcPr>
            <w:tcW w:w="5513" w:type="dxa"/>
            <w:vMerge/>
            <w:vAlign w:val="center"/>
          </w:tcPr>
          <w:p w:rsidR="006A2022" w:rsidRDefault="006A2022">
            <w:pPr>
              <w:pStyle w:val="TableText"/>
              <w:spacing w:before="60" w:after="60" w:line="240" w:lineRule="auto"/>
              <w:rPr>
                <w:rFonts w:ascii="Arial" w:hAnsi="Arial" w:cs="Arial"/>
              </w:rPr>
            </w:pPr>
          </w:p>
        </w:tc>
      </w:tr>
      <w:tr w:rsidR="006A2022" w:rsidTr="00276B96">
        <w:trPr>
          <w:cantSplit/>
          <w:trHeight w:val="173"/>
        </w:trPr>
        <w:tc>
          <w:tcPr>
            <w:tcW w:w="2160" w:type="dxa"/>
            <w:vMerge w:val="restart"/>
          </w:tcPr>
          <w:p w:rsidR="006A2022" w:rsidRDefault="006A2022" w:rsidP="005D758D">
            <w:pPr>
              <w:pStyle w:val="TableText"/>
              <w:spacing w:before="60" w:after="60" w:line="240" w:lineRule="auto"/>
              <w:rPr>
                <w:rFonts w:ascii="Arial" w:hAnsi="Arial" w:cs="Arial"/>
                <w:b/>
                <w:bCs/>
              </w:rPr>
            </w:pPr>
            <w:r>
              <w:rPr>
                <w:rFonts w:ascii="Arial" w:hAnsi="Arial" w:cs="Arial"/>
                <w:b/>
                <w:bCs/>
              </w:rPr>
              <w:t>Third party assurance reports</w:t>
            </w:r>
          </w:p>
        </w:tc>
        <w:tc>
          <w:tcPr>
            <w:tcW w:w="959" w:type="dxa"/>
            <w:vMerge w:val="restart"/>
          </w:tcPr>
          <w:p w:rsidR="006A2022" w:rsidRDefault="002D3DA2" w:rsidP="00276B96">
            <w:pPr>
              <w:pStyle w:val="TableText"/>
              <w:spacing w:before="60" w:after="60" w:line="240" w:lineRule="auto"/>
              <w:jc w:val="center"/>
              <w:rPr>
                <w:rFonts w:ascii="Arial" w:hAnsi="Arial" w:cs="Arial"/>
              </w:rPr>
            </w:pPr>
            <w:r>
              <w:rPr>
                <w:rFonts w:ascii="Arial" w:hAnsi="Arial" w:cs="Arial"/>
              </w:rPr>
              <w:t>3</w:t>
            </w:r>
          </w:p>
        </w:tc>
        <w:tc>
          <w:tcPr>
            <w:tcW w:w="992" w:type="dxa"/>
            <w:vMerge w:val="restart"/>
          </w:tcPr>
          <w:p w:rsidR="006A2022" w:rsidRDefault="002D3DA2" w:rsidP="00276B96">
            <w:pPr>
              <w:pStyle w:val="TableText"/>
              <w:spacing w:before="60" w:after="60" w:line="240" w:lineRule="auto"/>
              <w:jc w:val="center"/>
              <w:rPr>
                <w:rFonts w:ascii="Arial" w:hAnsi="Arial" w:cs="Arial"/>
              </w:rPr>
            </w:pPr>
            <w:r>
              <w:rPr>
                <w:rFonts w:ascii="Arial" w:hAnsi="Arial" w:cs="Arial"/>
              </w:rPr>
              <w:t>1</w:t>
            </w:r>
          </w:p>
        </w:tc>
        <w:tc>
          <w:tcPr>
            <w:tcW w:w="1134" w:type="dxa"/>
            <w:vMerge w:val="restart"/>
          </w:tcPr>
          <w:p w:rsidR="006A2022" w:rsidRDefault="005D5614" w:rsidP="00276B96">
            <w:pPr>
              <w:pStyle w:val="TableText"/>
              <w:spacing w:before="60" w:after="60" w:line="240" w:lineRule="auto"/>
              <w:jc w:val="center"/>
              <w:rPr>
                <w:rFonts w:ascii="Arial" w:hAnsi="Arial" w:cs="Arial"/>
              </w:rPr>
            </w:pPr>
            <w:r>
              <w:rPr>
                <w:rFonts w:ascii="Arial" w:hAnsi="Arial" w:cs="Arial"/>
              </w:rPr>
              <w:t>(</w:t>
            </w:r>
            <w:r w:rsidR="002D3DA2">
              <w:rPr>
                <w:rFonts w:ascii="Arial" w:hAnsi="Arial" w:cs="Arial"/>
              </w:rPr>
              <w:t>2</w:t>
            </w:r>
            <w:r>
              <w:rPr>
                <w:rFonts w:ascii="Arial" w:hAnsi="Arial" w:cs="Arial"/>
              </w:rPr>
              <w:t>)</w:t>
            </w:r>
          </w:p>
        </w:tc>
        <w:tc>
          <w:tcPr>
            <w:tcW w:w="1134" w:type="dxa"/>
          </w:tcPr>
          <w:p w:rsidR="006A2022" w:rsidRDefault="006A2022">
            <w:pPr>
              <w:pStyle w:val="TableText"/>
              <w:spacing w:before="60" w:after="60" w:line="240" w:lineRule="auto"/>
              <w:jc w:val="center"/>
              <w:rPr>
                <w:rFonts w:ascii="Arial" w:hAnsi="Arial"/>
              </w:rPr>
            </w:pPr>
            <w:r>
              <w:rPr>
                <w:rFonts w:ascii="Arial" w:hAnsi="Arial" w:cs="Arial"/>
              </w:rPr>
              <w:sym w:font="Wingdings" w:char="F0FC"/>
            </w:r>
          </w:p>
        </w:tc>
        <w:tc>
          <w:tcPr>
            <w:tcW w:w="1418" w:type="dxa"/>
          </w:tcPr>
          <w:p w:rsidR="006A2022" w:rsidRDefault="006A2022">
            <w:pPr>
              <w:pStyle w:val="TableText"/>
              <w:spacing w:before="60" w:after="60" w:line="240" w:lineRule="auto"/>
              <w:jc w:val="center"/>
              <w:rPr>
                <w:rFonts w:ascii="Arial" w:hAnsi="Arial"/>
              </w:rPr>
            </w:pPr>
            <w:r>
              <w:rPr>
                <w:rFonts w:ascii="Arial" w:hAnsi="Arial" w:cs="Arial"/>
              </w:rPr>
              <w:sym w:font="Wingdings" w:char="F0FC"/>
            </w:r>
          </w:p>
        </w:tc>
        <w:tc>
          <w:tcPr>
            <w:tcW w:w="5513" w:type="dxa"/>
            <w:vMerge w:val="restart"/>
          </w:tcPr>
          <w:p w:rsidR="006A2022" w:rsidRDefault="002D3DA2" w:rsidP="005C460B">
            <w:pPr>
              <w:spacing w:before="60" w:after="60" w:line="240" w:lineRule="auto"/>
              <w:rPr>
                <w:rFonts w:ascii="Arial" w:hAnsi="Arial" w:cs="Arial"/>
              </w:rPr>
            </w:pPr>
            <w:r>
              <w:rPr>
                <w:rFonts w:ascii="Arial" w:hAnsi="Arial" w:cs="Arial"/>
              </w:rPr>
              <w:t xml:space="preserve">We noted that the expected key controls were in place </w:t>
            </w:r>
            <w:r w:rsidR="00AF2695">
              <w:rPr>
                <w:rFonts w:ascii="Arial" w:hAnsi="Arial" w:cs="Arial"/>
              </w:rPr>
              <w:t xml:space="preserve">for the sample reports reviewed </w:t>
            </w:r>
            <w:r>
              <w:rPr>
                <w:rFonts w:ascii="Arial" w:hAnsi="Arial" w:cs="Arial"/>
              </w:rPr>
              <w:t>and assurance was provided on them in the reports.</w:t>
            </w:r>
            <w:r w:rsidR="006A2022" w:rsidRPr="00CF13ED">
              <w:rPr>
                <w:rFonts w:ascii="Arial" w:hAnsi="Arial" w:cs="Arial"/>
              </w:rPr>
              <w:t xml:space="preserve"> </w:t>
            </w:r>
            <w:r w:rsidR="006A2022">
              <w:rPr>
                <w:rFonts w:ascii="Arial" w:hAnsi="Arial" w:cs="Arial"/>
              </w:rPr>
              <w:t xml:space="preserve"> </w:t>
            </w:r>
          </w:p>
        </w:tc>
      </w:tr>
      <w:tr w:rsidR="006A2022" w:rsidTr="00276B96">
        <w:trPr>
          <w:cantSplit/>
          <w:trHeight w:val="712"/>
        </w:trPr>
        <w:tc>
          <w:tcPr>
            <w:tcW w:w="2160" w:type="dxa"/>
            <w:vMerge/>
          </w:tcPr>
          <w:p w:rsidR="006A2022" w:rsidRDefault="006A2022">
            <w:pPr>
              <w:pStyle w:val="TableText"/>
              <w:spacing w:before="60" w:after="60" w:line="240" w:lineRule="auto"/>
              <w:rPr>
                <w:rFonts w:ascii="Arial" w:hAnsi="Arial" w:cs="Arial"/>
                <w:b/>
                <w:bCs/>
              </w:rPr>
            </w:pPr>
          </w:p>
        </w:tc>
        <w:tc>
          <w:tcPr>
            <w:tcW w:w="959" w:type="dxa"/>
            <w:vMerge/>
          </w:tcPr>
          <w:p w:rsidR="006A2022" w:rsidRDefault="006A2022" w:rsidP="00276B96">
            <w:pPr>
              <w:pStyle w:val="TableText"/>
              <w:spacing w:before="60" w:after="60" w:line="240" w:lineRule="auto"/>
              <w:jc w:val="center"/>
              <w:rPr>
                <w:rFonts w:ascii="Arial" w:hAnsi="Arial" w:cs="Arial"/>
              </w:rPr>
            </w:pPr>
          </w:p>
        </w:tc>
        <w:tc>
          <w:tcPr>
            <w:tcW w:w="992" w:type="dxa"/>
            <w:vMerge/>
          </w:tcPr>
          <w:p w:rsidR="006A2022" w:rsidRDefault="006A2022" w:rsidP="00276B96">
            <w:pPr>
              <w:pStyle w:val="TableText"/>
              <w:spacing w:before="60" w:after="60" w:line="240" w:lineRule="auto"/>
              <w:jc w:val="center"/>
              <w:rPr>
                <w:rFonts w:ascii="Arial" w:hAnsi="Arial" w:cs="Arial"/>
              </w:rPr>
            </w:pPr>
          </w:p>
        </w:tc>
        <w:tc>
          <w:tcPr>
            <w:tcW w:w="1134" w:type="dxa"/>
            <w:vMerge/>
          </w:tcPr>
          <w:p w:rsidR="006A2022" w:rsidRDefault="006A2022" w:rsidP="00276B96">
            <w:pPr>
              <w:pStyle w:val="TableText"/>
              <w:spacing w:before="60" w:after="60" w:line="240" w:lineRule="auto"/>
              <w:jc w:val="center"/>
              <w:rPr>
                <w:rFonts w:ascii="Arial" w:hAnsi="Arial" w:cs="Arial"/>
              </w:rPr>
            </w:pPr>
          </w:p>
        </w:tc>
        <w:tc>
          <w:tcPr>
            <w:tcW w:w="2552" w:type="dxa"/>
            <w:gridSpan w:val="2"/>
          </w:tcPr>
          <w:p w:rsidR="006A2022" w:rsidRDefault="002D3DA2">
            <w:pPr>
              <w:pStyle w:val="TableText"/>
              <w:spacing w:before="60" w:after="60" w:line="240" w:lineRule="auto"/>
              <w:jc w:val="center"/>
              <w:rPr>
                <w:rFonts w:ascii="Arial" w:hAnsi="Arial"/>
              </w:rPr>
            </w:pPr>
            <w:r>
              <w:rPr>
                <w:rFonts w:ascii="Arial" w:hAnsi="Arial"/>
              </w:rPr>
              <w:t>Reliance can be placed on the assurance reports.</w:t>
            </w:r>
          </w:p>
        </w:tc>
        <w:tc>
          <w:tcPr>
            <w:tcW w:w="5513" w:type="dxa"/>
            <w:vMerge/>
            <w:vAlign w:val="center"/>
          </w:tcPr>
          <w:p w:rsidR="006A2022" w:rsidRDefault="006A2022">
            <w:pPr>
              <w:pStyle w:val="TableText"/>
              <w:spacing w:before="60" w:after="60" w:line="240" w:lineRule="auto"/>
              <w:rPr>
                <w:rFonts w:ascii="Arial" w:hAnsi="Arial" w:cs="Arial"/>
              </w:rPr>
            </w:pPr>
          </w:p>
        </w:tc>
      </w:tr>
      <w:tr w:rsidR="00DC7514" w:rsidTr="00276B96">
        <w:trPr>
          <w:cantSplit/>
          <w:trHeight w:val="188"/>
        </w:trPr>
        <w:tc>
          <w:tcPr>
            <w:tcW w:w="2160" w:type="dxa"/>
          </w:tcPr>
          <w:p w:rsidR="00DC7514" w:rsidDel="006A2022" w:rsidRDefault="00AD681A" w:rsidP="00AD681A">
            <w:pPr>
              <w:pStyle w:val="TableText"/>
              <w:spacing w:before="60" w:after="60" w:line="240" w:lineRule="auto"/>
              <w:rPr>
                <w:rFonts w:ascii="Arial" w:hAnsi="Arial" w:cs="Arial"/>
                <w:b/>
                <w:bCs/>
              </w:rPr>
            </w:pPr>
            <w:r>
              <w:rPr>
                <w:rFonts w:ascii="Arial" w:hAnsi="Arial" w:cs="Arial"/>
                <w:b/>
                <w:bCs/>
              </w:rPr>
              <w:t>Procurement  arrangements - property fund mandate</w:t>
            </w:r>
          </w:p>
        </w:tc>
        <w:tc>
          <w:tcPr>
            <w:tcW w:w="959" w:type="dxa"/>
          </w:tcPr>
          <w:p w:rsidR="00DC7514" w:rsidRDefault="00AD681A" w:rsidP="00276B96">
            <w:pPr>
              <w:pStyle w:val="TableText"/>
              <w:spacing w:before="60" w:after="60" w:line="240" w:lineRule="auto"/>
              <w:jc w:val="center"/>
              <w:rPr>
                <w:rFonts w:ascii="Arial" w:hAnsi="Arial" w:cs="Arial"/>
              </w:rPr>
            </w:pPr>
            <w:r>
              <w:rPr>
                <w:rFonts w:ascii="Arial" w:hAnsi="Arial" w:cs="Arial"/>
              </w:rPr>
              <w:t>10</w:t>
            </w:r>
          </w:p>
        </w:tc>
        <w:tc>
          <w:tcPr>
            <w:tcW w:w="992" w:type="dxa"/>
          </w:tcPr>
          <w:p w:rsidR="00DC7514" w:rsidRDefault="00AD681A" w:rsidP="00276B96">
            <w:pPr>
              <w:pStyle w:val="TableText"/>
              <w:spacing w:before="60" w:after="60" w:line="240" w:lineRule="auto"/>
              <w:jc w:val="center"/>
              <w:rPr>
                <w:rFonts w:ascii="Arial" w:hAnsi="Arial" w:cs="Arial"/>
              </w:rPr>
            </w:pPr>
            <w:r>
              <w:rPr>
                <w:rFonts w:ascii="Arial" w:hAnsi="Arial" w:cs="Arial"/>
              </w:rPr>
              <w:t>1</w:t>
            </w:r>
          </w:p>
        </w:tc>
        <w:tc>
          <w:tcPr>
            <w:tcW w:w="1134" w:type="dxa"/>
          </w:tcPr>
          <w:p w:rsidR="00DC7514" w:rsidRPr="000A40AC" w:rsidRDefault="005D5614" w:rsidP="00276B96">
            <w:pPr>
              <w:pStyle w:val="TableText"/>
              <w:spacing w:before="60" w:after="60" w:line="240" w:lineRule="auto"/>
              <w:jc w:val="center"/>
              <w:rPr>
                <w:rFonts w:ascii="Arial" w:hAnsi="Arial" w:cs="Arial"/>
              </w:rPr>
            </w:pPr>
            <w:r>
              <w:rPr>
                <w:rFonts w:ascii="Arial" w:hAnsi="Arial" w:cs="Arial"/>
              </w:rPr>
              <w:t>(</w:t>
            </w:r>
            <w:r w:rsidR="00AD681A">
              <w:rPr>
                <w:rFonts w:ascii="Arial" w:hAnsi="Arial" w:cs="Arial"/>
              </w:rPr>
              <w:t>9</w:t>
            </w:r>
            <w:r>
              <w:rPr>
                <w:rFonts w:ascii="Arial" w:hAnsi="Arial" w:cs="Arial"/>
              </w:rPr>
              <w:t>)</w:t>
            </w:r>
          </w:p>
        </w:tc>
        <w:tc>
          <w:tcPr>
            <w:tcW w:w="1134" w:type="dxa"/>
          </w:tcPr>
          <w:p w:rsidR="00DC7514" w:rsidRDefault="00DC7514" w:rsidP="006A2022">
            <w:pPr>
              <w:pStyle w:val="TableText"/>
              <w:spacing w:before="60" w:after="60" w:line="240" w:lineRule="auto"/>
              <w:jc w:val="center"/>
              <w:rPr>
                <w:rFonts w:ascii="Arial" w:hAnsi="Arial" w:cs="Arial"/>
              </w:rPr>
            </w:pPr>
            <w:r>
              <w:rPr>
                <w:rFonts w:ascii="Arial" w:hAnsi="Arial" w:cs="Arial"/>
              </w:rPr>
              <w:t>-</w:t>
            </w:r>
          </w:p>
        </w:tc>
        <w:tc>
          <w:tcPr>
            <w:tcW w:w="1418" w:type="dxa"/>
          </w:tcPr>
          <w:p w:rsidR="00DC7514" w:rsidRDefault="00DC7514" w:rsidP="006A2022">
            <w:pPr>
              <w:pStyle w:val="TableText"/>
              <w:spacing w:before="60" w:after="60" w:line="240" w:lineRule="auto"/>
              <w:jc w:val="center"/>
              <w:rPr>
                <w:rFonts w:ascii="Arial" w:hAnsi="Arial" w:cs="Arial"/>
              </w:rPr>
            </w:pPr>
            <w:r>
              <w:rPr>
                <w:rFonts w:ascii="Arial" w:hAnsi="Arial" w:cs="Arial"/>
              </w:rPr>
              <w:t>-</w:t>
            </w:r>
          </w:p>
        </w:tc>
        <w:tc>
          <w:tcPr>
            <w:tcW w:w="5513" w:type="dxa"/>
          </w:tcPr>
          <w:p w:rsidR="00DC7514" w:rsidDel="006A2022" w:rsidRDefault="00DC7514" w:rsidP="006A3106">
            <w:pPr>
              <w:pStyle w:val="TableText"/>
              <w:spacing w:before="60" w:after="60" w:line="240" w:lineRule="auto"/>
              <w:rPr>
                <w:rFonts w:ascii="Arial" w:hAnsi="Arial" w:cs="Arial"/>
              </w:rPr>
            </w:pPr>
            <w:r>
              <w:rPr>
                <w:rFonts w:ascii="Arial" w:hAnsi="Arial" w:cs="Arial"/>
              </w:rPr>
              <w:t>The days relate to initial discussions and preparatory work. The retender of the property fund contract has been delayed due to other priorities</w:t>
            </w:r>
            <w:r w:rsidR="006A3106">
              <w:rPr>
                <w:rFonts w:ascii="Arial" w:hAnsi="Arial" w:cs="Arial"/>
              </w:rPr>
              <w:t xml:space="preserve"> during the year.</w:t>
            </w:r>
          </w:p>
        </w:tc>
      </w:tr>
      <w:tr w:rsidR="00AD681A" w:rsidTr="00276B96">
        <w:trPr>
          <w:cantSplit/>
          <w:trHeight w:val="405"/>
        </w:trPr>
        <w:tc>
          <w:tcPr>
            <w:tcW w:w="2160" w:type="dxa"/>
            <w:vMerge w:val="restart"/>
          </w:tcPr>
          <w:p w:rsidR="00AD681A" w:rsidRPr="009F386E" w:rsidRDefault="00AD681A" w:rsidP="00AD681A">
            <w:pPr>
              <w:pStyle w:val="TableText"/>
              <w:spacing w:before="60" w:after="60" w:line="240" w:lineRule="auto"/>
              <w:rPr>
                <w:rFonts w:ascii="Arial" w:hAnsi="Arial" w:cs="Arial"/>
                <w:b/>
              </w:rPr>
            </w:pPr>
            <w:r>
              <w:rPr>
                <w:rFonts w:ascii="Arial" w:hAnsi="Arial" w:cs="Arial"/>
                <w:b/>
              </w:rPr>
              <w:t>Pensions administration</w:t>
            </w:r>
          </w:p>
        </w:tc>
        <w:tc>
          <w:tcPr>
            <w:tcW w:w="959" w:type="dxa"/>
            <w:vMerge w:val="restart"/>
          </w:tcPr>
          <w:p w:rsidR="00AD681A" w:rsidRPr="00A66B7D" w:rsidRDefault="00AD681A" w:rsidP="00276B96">
            <w:pPr>
              <w:pStyle w:val="TableText"/>
              <w:spacing w:before="60" w:after="60" w:line="240" w:lineRule="auto"/>
              <w:jc w:val="center"/>
              <w:rPr>
                <w:rFonts w:ascii="Arial" w:hAnsi="Arial" w:cs="Arial"/>
              </w:rPr>
            </w:pPr>
            <w:r>
              <w:rPr>
                <w:rFonts w:ascii="Arial" w:hAnsi="Arial" w:cs="Arial"/>
              </w:rPr>
              <w:t>30</w:t>
            </w:r>
          </w:p>
        </w:tc>
        <w:tc>
          <w:tcPr>
            <w:tcW w:w="992" w:type="dxa"/>
            <w:vMerge w:val="restart"/>
          </w:tcPr>
          <w:p w:rsidR="00AD681A" w:rsidRPr="00B144F3" w:rsidRDefault="00276B96" w:rsidP="00276B96">
            <w:pPr>
              <w:pStyle w:val="TableText"/>
              <w:spacing w:before="60" w:after="60" w:line="240" w:lineRule="auto"/>
              <w:jc w:val="center"/>
              <w:rPr>
                <w:rFonts w:ascii="Arial" w:hAnsi="Arial" w:cs="Arial"/>
              </w:rPr>
            </w:pPr>
            <w:r>
              <w:rPr>
                <w:rFonts w:ascii="Arial" w:hAnsi="Arial" w:cs="Arial"/>
              </w:rPr>
              <w:t>32</w:t>
            </w:r>
          </w:p>
        </w:tc>
        <w:tc>
          <w:tcPr>
            <w:tcW w:w="1134" w:type="dxa"/>
            <w:vMerge w:val="restart"/>
          </w:tcPr>
          <w:p w:rsidR="00AD681A" w:rsidRPr="00B144F3" w:rsidRDefault="00276B96" w:rsidP="00276B96">
            <w:pPr>
              <w:pStyle w:val="TableText"/>
              <w:spacing w:before="60" w:after="60" w:line="240" w:lineRule="auto"/>
              <w:jc w:val="center"/>
              <w:rPr>
                <w:rFonts w:ascii="Arial" w:hAnsi="Arial" w:cs="Arial"/>
              </w:rPr>
            </w:pPr>
            <w:r>
              <w:rPr>
                <w:rFonts w:ascii="Arial" w:hAnsi="Arial" w:cs="Arial"/>
              </w:rPr>
              <w:t>2</w:t>
            </w:r>
          </w:p>
        </w:tc>
        <w:tc>
          <w:tcPr>
            <w:tcW w:w="1134" w:type="dxa"/>
          </w:tcPr>
          <w:p w:rsidR="00AD681A" w:rsidRDefault="00AD681A" w:rsidP="00AD681A">
            <w:pPr>
              <w:pStyle w:val="TableText"/>
              <w:spacing w:before="60" w:after="60" w:line="240" w:lineRule="auto"/>
              <w:jc w:val="center"/>
              <w:rPr>
                <w:rFonts w:ascii="Arial" w:hAnsi="Arial" w:cs="Arial"/>
              </w:rPr>
            </w:pPr>
            <w:r>
              <w:rPr>
                <w:rFonts w:ascii="Arial" w:hAnsi="Arial" w:cs="Arial"/>
              </w:rPr>
              <w:sym w:font="Wingdings" w:char="F0FC"/>
            </w:r>
          </w:p>
        </w:tc>
        <w:tc>
          <w:tcPr>
            <w:tcW w:w="1418" w:type="dxa"/>
          </w:tcPr>
          <w:p w:rsidR="00AD681A" w:rsidRDefault="00AD681A" w:rsidP="00AD681A">
            <w:pPr>
              <w:pStyle w:val="TableText"/>
              <w:spacing w:before="60" w:after="60" w:line="240" w:lineRule="auto"/>
              <w:jc w:val="center"/>
              <w:rPr>
                <w:rFonts w:ascii="Arial" w:hAnsi="Arial" w:cs="Arial"/>
              </w:rPr>
            </w:pPr>
            <w:r>
              <w:rPr>
                <w:rFonts w:ascii="Arial" w:hAnsi="Arial" w:cs="Arial"/>
              </w:rPr>
              <w:sym w:font="Wingdings" w:char="F0FC"/>
            </w:r>
          </w:p>
        </w:tc>
        <w:tc>
          <w:tcPr>
            <w:tcW w:w="5513" w:type="dxa"/>
            <w:vMerge w:val="restart"/>
          </w:tcPr>
          <w:p w:rsidR="00AD681A" w:rsidRDefault="00AD681A" w:rsidP="00EC2B89">
            <w:pPr>
              <w:pStyle w:val="TableText"/>
              <w:spacing w:before="60" w:after="60" w:line="240" w:lineRule="auto"/>
              <w:rPr>
                <w:rFonts w:ascii="Arial" w:hAnsi="Arial" w:cs="Arial"/>
              </w:rPr>
            </w:pPr>
            <w:r>
              <w:rPr>
                <w:rFonts w:ascii="Arial" w:hAnsi="Arial" w:cs="Arial"/>
              </w:rPr>
              <w:t xml:space="preserve">The draft report was issued in May 2014. </w:t>
            </w:r>
          </w:p>
        </w:tc>
      </w:tr>
      <w:tr w:rsidR="00AD681A" w:rsidTr="00276B96">
        <w:trPr>
          <w:cantSplit/>
          <w:trHeight w:val="405"/>
        </w:trPr>
        <w:tc>
          <w:tcPr>
            <w:tcW w:w="2160" w:type="dxa"/>
            <w:vMerge/>
          </w:tcPr>
          <w:p w:rsidR="00AD681A" w:rsidRDefault="00AD681A" w:rsidP="00AD681A">
            <w:pPr>
              <w:pStyle w:val="TableText"/>
              <w:spacing w:before="60" w:after="60" w:line="240" w:lineRule="auto"/>
              <w:rPr>
                <w:rFonts w:ascii="Arial" w:hAnsi="Arial" w:cs="Arial"/>
                <w:b/>
              </w:rPr>
            </w:pPr>
          </w:p>
        </w:tc>
        <w:tc>
          <w:tcPr>
            <w:tcW w:w="959" w:type="dxa"/>
            <w:vMerge/>
          </w:tcPr>
          <w:p w:rsidR="00AD681A" w:rsidRDefault="00AD681A" w:rsidP="00276B96">
            <w:pPr>
              <w:pStyle w:val="TableText"/>
              <w:spacing w:before="60" w:after="60" w:line="240" w:lineRule="auto"/>
              <w:jc w:val="center"/>
              <w:rPr>
                <w:rFonts w:ascii="Arial" w:hAnsi="Arial" w:cs="Arial"/>
              </w:rPr>
            </w:pPr>
          </w:p>
        </w:tc>
        <w:tc>
          <w:tcPr>
            <w:tcW w:w="992" w:type="dxa"/>
            <w:vMerge/>
          </w:tcPr>
          <w:p w:rsidR="00AD681A" w:rsidRPr="00B144F3" w:rsidRDefault="00AD681A" w:rsidP="00276B96">
            <w:pPr>
              <w:pStyle w:val="TableText"/>
              <w:spacing w:before="60" w:after="60" w:line="240" w:lineRule="auto"/>
              <w:jc w:val="center"/>
              <w:rPr>
                <w:rFonts w:ascii="Arial" w:hAnsi="Arial" w:cs="Arial"/>
              </w:rPr>
            </w:pPr>
          </w:p>
        </w:tc>
        <w:tc>
          <w:tcPr>
            <w:tcW w:w="1134" w:type="dxa"/>
            <w:vMerge/>
          </w:tcPr>
          <w:p w:rsidR="00AD681A" w:rsidRPr="00B144F3" w:rsidRDefault="00AD681A" w:rsidP="00276B96">
            <w:pPr>
              <w:pStyle w:val="TableText"/>
              <w:spacing w:before="60" w:after="60" w:line="240" w:lineRule="auto"/>
              <w:jc w:val="center"/>
              <w:rPr>
                <w:rFonts w:ascii="Arial" w:hAnsi="Arial" w:cs="Arial"/>
              </w:rPr>
            </w:pPr>
          </w:p>
        </w:tc>
        <w:tc>
          <w:tcPr>
            <w:tcW w:w="2552" w:type="dxa"/>
            <w:gridSpan w:val="2"/>
          </w:tcPr>
          <w:p w:rsidR="00AD681A" w:rsidRDefault="00AD681A" w:rsidP="00AD681A">
            <w:pPr>
              <w:pStyle w:val="TableText"/>
              <w:spacing w:before="60" w:after="60" w:line="240" w:lineRule="auto"/>
              <w:jc w:val="center"/>
              <w:rPr>
                <w:rFonts w:ascii="Arial" w:hAnsi="Arial" w:cs="Arial"/>
              </w:rPr>
            </w:pPr>
            <w:r>
              <w:rPr>
                <w:rFonts w:ascii="Arial" w:hAnsi="Arial"/>
              </w:rPr>
              <w:t>Substantial assurance</w:t>
            </w:r>
          </w:p>
        </w:tc>
        <w:tc>
          <w:tcPr>
            <w:tcW w:w="5513" w:type="dxa"/>
            <w:vMerge/>
          </w:tcPr>
          <w:p w:rsidR="00AD681A" w:rsidRDefault="00AD681A" w:rsidP="00AD681A">
            <w:pPr>
              <w:pStyle w:val="TableText"/>
              <w:spacing w:before="60" w:after="60" w:line="240" w:lineRule="auto"/>
              <w:rPr>
                <w:rFonts w:ascii="Arial" w:hAnsi="Arial" w:cs="Arial"/>
              </w:rPr>
            </w:pPr>
          </w:p>
        </w:tc>
      </w:tr>
      <w:tr w:rsidR="00AD681A" w:rsidTr="00276B96">
        <w:trPr>
          <w:cantSplit/>
          <w:trHeight w:val="360"/>
        </w:trPr>
        <w:tc>
          <w:tcPr>
            <w:tcW w:w="2160" w:type="dxa"/>
            <w:vMerge w:val="restart"/>
          </w:tcPr>
          <w:p w:rsidR="00AD681A" w:rsidRDefault="00AD681A" w:rsidP="00AD681A">
            <w:pPr>
              <w:pStyle w:val="TableText"/>
              <w:spacing w:before="60" w:after="60" w:line="240" w:lineRule="auto"/>
              <w:rPr>
                <w:rFonts w:ascii="Arial" w:hAnsi="Arial" w:cs="Arial"/>
                <w:b/>
                <w:bCs/>
              </w:rPr>
            </w:pPr>
            <w:r>
              <w:rPr>
                <w:rFonts w:ascii="Arial" w:hAnsi="Arial" w:cs="Arial"/>
                <w:b/>
                <w:bCs/>
              </w:rPr>
              <w:t>Employer contributions</w:t>
            </w:r>
          </w:p>
        </w:tc>
        <w:tc>
          <w:tcPr>
            <w:tcW w:w="959" w:type="dxa"/>
            <w:vMerge w:val="restart"/>
          </w:tcPr>
          <w:p w:rsidR="00AD681A" w:rsidRDefault="00AD681A" w:rsidP="00276B96">
            <w:pPr>
              <w:pStyle w:val="TableText"/>
              <w:spacing w:before="60" w:after="60" w:line="240" w:lineRule="auto"/>
              <w:jc w:val="center"/>
              <w:rPr>
                <w:rFonts w:ascii="Arial" w:hAnsi="Arial" w:cs="Arial"/>
              </w:rPr>
            </w:pPr>
            <w:r>
              <w:rPr>
                <w:rFonts w:ascii="Arial" w:hAnsi="Arial" w:cs="Arial"/>
              </w:rPr>
              <w:t>5</w:t>
            </w:r>
          </w:p>
        </w:tc>
        <w:tc>
          <w:tcPr>
            <w:tcW w:w="992" w:type="dxa"/>
            <w:vMerge w:val="restart"/>
          </w:tcPr>
          <w:p w:rsidR="00AD681A" w:rsidRDefault="00276B96" w:rsidP="00276B96">
            <w:pPr>
              <w:pStyle w:val="TableText"/>
              <w:spacing w:before="60" w:after="60" w:line="240" w:lineRule="auto"/>
              <w:jc w:val="center"/>
              <w:rPr>
                <w:rFonts w:ascii="Arial" w:hAnsi="Arial" w:cs="Arial"/>
              </w:rPr>
            </w:pPr>
            <w:r>
              <w:rPr>
                <w:rFonts w:ascii="Arial" w:hAnsi="Arial" w:cs="Arial"/>
              </w:rPr>
              <w:t>5</w:t>
            </w:r>
          </w:p>
        </w:tc>
        <w:tc>
          <w:tcPr>
            <w:tcW w:w="1134" w:type="dxa"/>
            <w:vMerge w:val="restart"/>
          </w:tcPr>
          <w:p w:rsidR="00AD681A" w:rsidRDefault="00276B96" w:rsidP="00276B96">
            <w:pPr>
              <w:pStyle w:val="TableText"/>
              <w:spacing w:before="60" w:after="60" w:line="240" w:lineRule="auto"/>
              <w:jc w:val="center"/>
              <w:rPr>
                <w:rFonts w:ascii="Arial" w:hAnsi="Arial" w:cs="Arial"/>
              </w:rPr>
            </w:pPr>
            <w:r>
              <w:rPr>
                <w:rFonts w:ascii="Arial" w:hAnsi="Arial" w:cs="Arial"/>
              </w:rPr>
              <w:t>0</w:t>
            </w:r>
          </w:p>
        </w:tc>
        <w:tc>
          <w:tcPr>
            <w:tcW w:w="1134" w:type="dxa"/>
          </w:tcPr>
          <w:p w:rsidR="00AD681A" w:rsidRDefault="00AD681A" w:rsidP="00AD681A">
            <w:pPr>
              <w:pStyle w:val="TableText"/>
              <w:spacing w:before="60" w:after="60" w:line="240" w:lineRule="auto"/>
              <w:jc w:val="center"/>
              <w:rPr>
                <w:rFonts w:ascii="Arial" w:hAnsi="Arial" w:cs="Arial"/>
              </w:rPr>
            </w:pPr>
            <w:r>
              <w:rPr>
                <w:rFonts w:ascii="Arial" w:hAnsi="Arial" w:cs="Arial"/>
              </w:rPr>
              <w:sym w:font="Wingdings" w:char="F0FC"/>
            </w:r>
          </w:p>
        </w:tc>
        <w:tc>
          <w:tcPr>
            <w:tcW w:w="1418" w:type="dxa"/>
          </w:tcPr>
          <w:p w:rsidR="00AD681A" w:rsidRDefault="00AD681A" w:rsidP="00AD681A">
            <w:pPr>
              <w:pStyle w:val="TableText"/>
              <w:spacing w:before="60" w:after="60" w:line="240" w:lineRule="auto"/>
              <w:jc w:val="center"/>
              <w:rPr>
                <w:rFonts w:ascii="Arial" w:hAnsi="Arial" w:cs="Arial"/>
              </w:rPr>
            </w:pPr>
            <w:r>
              <w:rPr>
                <w:rFonts w:ascii="Arial" w:hAnsi="Arial" w:cs="Arial"/>
              </w:rPr>
              <w:sym w:font="Wingdings" w:char="F0FC"/>
            </w:r>
          </w:p>
        </w:tc>
        <w:tc>
          <w:tcPr>
            <w:tcW w:w="5513" w:type="dxa"/>
            <w:vMerge w:val="restart"/>
          </w:tcPr>
          <w:p w:rsidR="00AD681A" w:rsidRDefault="00AD681A" w:rsidP="005C460B">
            <w:pPr>
              <w:pStyle w:val="TableText"/>
              <w:spacing w:before="60" w:after="60" w:line="240" w:lineRule="auto"/>
              <w:rPr>
                <w:rFonts w:ascii="Arial" w:hAnsi="Arial" w:cs="Arial"/>
              </w:rPr>
            </w:pPr>
            <w:r>
              <w:rPr>
                <w:rFonts w:ascii="Arial" w:hAnsi="Arial" w:cs="Arial"/>
              </w:rPr>
              <w:t>The final report was issued in May 2014.</w:t>
            </w:r>
          </w:p>
        </w:tc>
      </w:tr>
      <w:tr w:rsidR="00AD681A" w:rsidTr="00276B96">
        <w:trPr>
          <w:cantSplit/>
          <w:trHeight w:val="360"/>
        </w:trPr>
        <w:tc>
          <w:tcPr>
            <w:tcW w:w="2160" w:type="dxa"/>
            <w:vMerge/>
          </w:tcPr>
          <w:p w:rsidR="00AD681A" w:rsidRDefault="00AD681A" w:rsidP="005D758D">
            <w:pPr>
              <w:pStyle w:val="TableText"/>
              <w:spacing w:before="60" w:after="60" w:line="240" w:lineRule="auto"/>
              <w:rPr>
                <w:rFonts w:ascii="Arial" w:hAnsi="Arial" w:cs="Arial"/>
                <w:b/>
              </w:rPr>
            </w:pPr>
          </w:p>
        </w:tc>
        <w:tc>
          <w:tcPr>
            <w:tcW w:w="959" w:type="dxa"/>
            <w:vMerge/>
          </w:tcPr>
          <w:p w:rsidR="00AD681A" w:rsidRDefault="00AD681A" w:rsidP="00276B96">
            <w:pPr>
              <w:pStyle w:val="TableText"/>
              <w:spacing w:before="60" w:after="60" w:line="240" w:lineRule="auto"/>
              <w:jc w:val="center"/>
              <w:rPr>
                <w:rFonts w:ascii="Arial" w:hAnsi="Arial" w:cs="Arial"/>
              </w:rPr>
            </w:pPr>
          </w:p>
        </w:tc>
        <w:tc>
          <w:tcPr>
            <w:tcW w:w="992" w:type="dxa"/>
            <w:vMerge/>
          </w:tcPr>
          <w:p w:rsidR="00AD681A" w:rsidRDefault="00AD681A" w:rsidP="00276B96">
            <w:pPr>
              <w:pStyle w:val="TableText"/>
              <w:spacing w:before="60" w:after="60" w:line="240" w:lineRule="auto"/>
              <w:jc w:val="center"/>
              <w:rPr>
                <w:rFonts w:ascii="Arial" w:hAnsi="Arial" w:cs="Arial"/>
              </w:rPr>
            </w:pPr>
          </w:p>
        </w:tc>
        <w:tc>
          <w:tcPr>
            <w:tcW w:w="1134" w:type="dxa"/>
            <w:vMerge/>
          </w:tcPr>
          <w:p w:rsidR="00AD681A" w:rsidRDefault="00AD681A" w:rsidP="00276B96">
            <w:pPr>
              <w:pStyle w:val="TableText"/>
              <w:spacing w:before="60" w:after="60" w:line="240" w:lineRule="auto"/>
              <w:jc w:val="center"/>
              <w:rPr>
                <w:rFonts w:ascii="Arial" w:hAnsi="Arial" w:cs="Arial"/>
              </w:rPr>
            </w:pPr>
          </w:p>
        </w:tc>
        <w:tc>
          <w:tcPr>
            <w:tcW w:w="2552" w:type="dxa"/>
            <w:gridSpan w:val="2"/>
          </w:tcPr>
          <w:p w:rsidR="00AD681A" w:rsidRDefault="00AD681A" w:rsidP="002D3DA2">
            <w:pPr>
              <w:pStyle w:val="TableText"/>
              <w:spacing w:before="60" w:after="60" w:line="240" w:lineRule="auto"/>
              <w:jc w:val="center"/>
              <w:rPr>
                <w:rFonts w:ascii="Arial" w:hAnsi="Arial" w:cs="Arial"/>
              </w:rPr>
            </w:pPr>
            <w:r>
              <w:rPr>
                <w:rFonts w:ascii="Arial" w:hAnsi="Arial"/>
              </w:rPr>
              <w:t>Substantial assurance</w:t>
            </w:r>
          </w:p>
        </w:tc>
        <w:tc>
          <w:tcPr>
            <w:tcW w:w="5513" w:type="dxa"/>
            <w:vMerge/>
          </w:tcPr>
          <w:p w:rsidR="00AD681A" w:rsidRDefault="00AD681A" w:rsidP="00AD681A">
            <w:pPr>
              <w:pStyle w:val="TableText"/>
              <w:spacing w:before="60" w:after="60" w:line="240" w:lineRule="auto"/>
              <w:rPr>
                <w:rFonts w:ascii="Arial" w:hAnsi="Arial" w:cs="Arial"/>
              </w:rPr>
            </w:pPr>
          </w:p>
        </w:tc>
      </w:tr>
      <w:tr w:rsidR="00AD681A" w:rsidTr="00276B96">
        <w:trPr>
          <w:cantSplit/>
          <w:trHeight w:val="360"/>
        </w:trPr>
        <w:tc>
          <w:tcPr>
            <w:tcW w:w="2160" w:type="dxa"/>
            <w:vMerge w:val="restart"/>
          </w:tcPr>
          <w:p w:rsidR="00AD681A" w:rsidRPr="00071906" w:rsidRDefault="00AD681A" w:rsidP="005D758D">
            <w:pPr>
              <w:pStyle w:val="TableText"/>
              <w:spacing w:before="60" w:after="60" w:line="240" w:lineRule="auto"/>
              <w:rPr>
                <w:rFonts w:ascii="Arial" w:hAnsi="Arial" w:cs="Arial"/>
                <w:b/>
              </w:rPr>
            </w:pPr>
            <w:r>
              <w:rPr>
                <w:rFonts w:ascii="Arial" w:hAnsi="Arial" w:cs="Arial"/>
                <w:b/>
              </w:rPr>
              <w:t>Follow up</w:t>
            </w:r>
          </w:p>
        </w:tc>
        <w:tc>
          <w:tcPr>
            <w:tcW w:w="959" w:type="dxa"/>
            <w:vMerge w:val="restart"/>
          </w:tcPr>
          <w:p w:rsidR="00AD681A" w:rsidRDefault="00AD681A" w:rsidP="00276B96">
            <w:pPr>
              <w:pStyle w:val="TableText"/>
              <w:spacing w:before="60" w:after="60" w:line="240" w:lineRule="auto"/>
              <w:jc w:val="center"/>
              <w:rPr>
                <w:rFonts w:ascii="Arial" w:hAnsi="Arial" w:cs="Arial"/>
              </w:rPr>
            </w:pPr>
            <w:r>
              <w:rPr>
                <w:rFonts w:ascii="Arial" w:hAnsi="Arial" w:cs="Arial"/>
              </w:rPr>
              <w:t>2</w:t>
            </w:r>
          </w:p>
        </w:tc>
        <w:tc>
          <w:tcPr>
            <w:tcW w:w="992" w:type="dxa"/>
            <w:vMerge w:val="restart"/>
          </w:tcPr>
          <w:p w:rsidR="00AD681A" w:rsidRDefault="00AD681A" w:rsidP="00276B96">
            <w:pPr>
              <w:pStyle w:val="TableText"/>
              <w:spacing w:before="60" w:after="60" w:line="240" w:lineRule="auto"/>
              <w:jc w:val="center"/>
              <w:rPr>
                <w:rFonts w:ascii="Arial" w:hAnsi="Arial" w:cs="Arial"/>
              </w:rPr>
            </w:pPr>
            <w:r>
              <w:rPr>
                <w:rFonts w:ascii="Arial" w:hAnsi="Arial" w:cs="Arial"/>
              </w:rPr>
              <w:t>2</w:t>
            </w:r>
          </w:p>
        </w:tc>
        <w:tc>
          <w:tcPr>
            <w:tcW w:w="1134" w:type="dxa"/>
            <w:vMerge w:val="restart"/>
          </w:tcPr>
          <w:p w:rsidR="00AD681A" w:rsidRDefault="00AD681A" w:rsidP="00276B96">
            <w:pPr>
              <w:pStyle w:val="TableText"/>
              <w:spacing w:before="60" w:after="60" w:line="240" w:lineRule="auto"/>
              <w:jc w:val="center"/>
              <w:rPr>
                <w:rFonts w:ascii="Arial" w:hAnsi="Arial" w:cs="Arial"/>
              </w:rPr>
            </w:pPr>
            <w:r>
              <w:rPr>
                <w:rFonts w:ascii="Arial" w:hAnsi="Arial" w:cs="Arial"/>
              </w:rPr>
              <w:t>0</w:t>
            </w:r>
          </w:p>
        </w:tc>
        <w:tc>
          <w:tcPr>
            <w:tcW w:w="1134" w:type="dxa"/>
          </w:tcPr>
          <w:p w:rsidR="00AD681A" w:rsidRDefault="00AD681A" w:rsidP="002D3DA2">
            <w:pPr>
              <w:pStyle w:val="TableText"/>
              <w:spacing w:before="60" w:after="60" w:line="240" w:lineRule="auto"/>
              <w:jc w:val="center"/>
              <w:rPr>
                <w:rFonts w:ascii="Arial" w:hAnsi="Arial"/>
              </w:rPr>
            </w:pPr>
            <w:r>
              <w:rPr>
                <w:rFonts w:ascii="Arial" w:hAnsi="Arial" w:cs="Arial"/>
              </w:rPr>
              <w:sym w:font="Wingdings" w:char="F0FC"/>
            </w:r>
          </w:p>
        </w:tc>
        <w:tc>
          <w:tcPr>
            <w:tcW w:w="1418" w:type="dxa"/>
          </w:tcPr>
          <w:p w:rsidR="00AD681A" w:rsidRDefault="00AD681A" w:rsidP="002D3DA2">
            <w:pPr>
              <w:pStyle w:val="TableText"/>
              <w:spacing w:before="60" w:after="60" w:line="240" w:lineRule="auto"/>
              <w:jc w:val="center"/>
              <w:rPr>
                <w:rFonts w:ascii="Arial" w:hAnsi="Arial"/>
              </w:rPr>
            </w:pPr>
            <w:r>
              <w:rPr>
                <w:rFonts w:ascii="Arial" w:hAnsi="Arial" w:cs="Arial"/>
              </w:rPr>
              <w:sym w:font="Wingdings" w:char="F0FC"/>
            </w:r>
          </w:p>
        </w:tc>
        <w:tc>
          <w:tcPr>
            <w:tcW w:w="5513" w:type="dxa"/>
            <w:vMerge w:val="restart"/>
          </w:tcPr>
          <w:p w:rsidR="00AD681A" w:rsidRDefault="00AD681A" w:rsidP="00AD681A">
            <w:pPr>
              <w:pStyle w:val="TableText"/>
              <w:spacing w:before="60" w:after="60" w:line="240" w:lineRule="auto"/>
              <w:rPr>
                <w:rFonts w:ascii="Arial" w:hAnsi="Arial" w:cs="Arial"/>
              </w:rPr>
            </w:pPr>
            <w:r>
              <w:rPr>
                <w:rFonts w:ascii="Arial" w:hAnsi="Arial" w:cs="Arial"/>
              </w:rPr>
              <w:t xml:space="preserve">This related to the follow up of recommendations for the 2012/13 pension fund reviews. All recommendations had been implemented with the exception of </w:t>
            </w:r>
            <w:r w:rsidR="005C460B">
              <w:rPr>
                <w:rFonts w:ascii="Arial" w:hAnsi="Arial" w:cs="Arial"/>
              </w:rPr>
              <w:t xml:space="preserve">one; </w:t>
            </w:r>
            <w:r>
              <w:rPr>
                <w:rFonts w:ascii="Arial" w:hAnsi="Arial" w:cs="Arial"/>
              </w:rPr>
              <w:t>ensuring that consistent information is includ</w:t>
            </w:r>
            <w:r w:rsidR="00EC2B89">
              <w:rPr>
                <w:rFonts w:ascii="Arial" w:hAnsi="Arial" w:cs="Arial"/>
              </w:rPr>
              <w:t>ed on all accounting journals (</w:t>
            </w:r>
            <w:r>
              <w:rPr>
                <w:rFonts w:ascii="Arial" w:hAnsi="Arial" w:cs="Arial"/>
              </w:rPr>
              <w:t xml:space="preserve">general ledger).  </w:t>
            </w:r>
          </w:p>
        </w:tc>
      </w:tr>
      <w:tr w:rsidR="00AD681A" w:rsidTr="00276B96">
        <w:trPr>
          <w:cantSplit/>
          <w:trHeight w:val="360"/>
        </w:trPr>
        <w:tc>
          <w:tcPr>
            <w:tcW w:w="2160" w:type="dxa"/>
            <w:vMerge/>
          </w:tcPr>
          <w:p w:rsidR="00AD681A" w:rsidRDefault="00AD681A" w:rsidP="005D758D">
            <w:pPr>
              <w:pStyle w:val="TableText"/>
              <w:spacing w:before="60" w:after="60" w:line="240" w:lineRule="auto"/>
              <w:rPr>
                <w:rFonts w:ascii="Arial" w:hAnsi="Arial" w:cs="Arial"/>
                <w:b/>
              </w:rPr>
            </w:pPr>
          </w:p>
        </w:tc>
        <w:tc>
          <w:tcPr>
            <w:tcW w:w="959" w:type="dxa"/>
            <w:vMerge/>
          </w:tcPr>
          <w:p w:rsidR="00AD681A" w:rsidRDefault="00AD681A" w:rsidP="00276B96">
            <w:pPr>
              <w:pStyle w:val="TableText"/>
              <w:spacing w:before="60" w:after="60" w:line="240" w:lineRule="auto"/>
              <w:jc w:val="center"/>
              <w:rPr>
                <w:rFonts w:ascii="Arial" w:hAnsi="Arial" w:cs="Arial"/>
              </w:rPr>
            </w:pPr>
          </w:p>
        </w:tc>
        <w:tc>
          <w:tcPr>
            <w:tcW w:w="992" w:type="dxa"/>
            <w:vMerge/>
          </w:tcPr>
          <w:p w:rsidR="00AD681A" w:rsidRDefault="00AD681A" w:rsidP="00276B96">
            <w:pPr>
              <w:pStyle w:val="TableText"/>
              <w:spacing w:before="60" w:after="60" w:line="240" w:lineRule="auto"/>
              <w:jc w:val="center"/>
              <w:rPr>
                <w:rFonts w:ascii="Arial" w:hAnsi="Arial" w:cs="Arial"/>
              </w:rPr>
            </w:pPr>
          </w:p>
        </w:tc>
        <w:tc>
          <w:tcPr>
            <w:tcW w:w="1134" w:type="dxa"/>
            <w:vMerge/>
          </w:tcPr>
          <w:p w:rsidR="00AD681A" w:rsidRDefault="00AD681A" w:rsidP="00276B96">
            <w:pPr>
              <w:pStyle w:val="TableText"/>
              <w:spacing w:before="60" w:after="60" w:line="240" w:lineRule="auto"/>
              <w:jc w:val="center"/>
              <w:rPr>
                <w:rFonts w:ascii="Arial" w:hAnsi="Arial" w:cs="Arial"/>
              </w:rPr>
            </w:pPr>
          </w:p>
        </w:tc>
        <w:tc>
          <w:tcPr>
            <w:tcW w:w="2552" w:type="dxa"/>
            <w:gridSpan w:val="2"/>
          </w:tcPr>
          <w:p w:rsidR="00AD681A" w:rsidRDefault="00AD681A" w:rsidP="002D3DA2">
            <w:pPr>
              <w:pStyle w:val="TableText"/>
              <w:spacing w:before="60" w:after="60" w:line="240" w:lineRule="auto"/>
              <w:jc w:val="center"/>
              <w:rPr>
                <w:rFonts w:ascii="Arial" w:hAnsi="Arial" w:cs="Arial"/>
              </w:rPr>
            </w:pPr>
            <w:r>
              <w:rPr>
                <w:rFonts w:ascii="Arial" w:hAnsi="Arial" w:cs="Arial"/>
              </w:rPr>
              <w:t>Substantial assurance</w:t>
            </w:r>
          </w:p>
        </w:tc>
        <w:tc>
          <w:tcPr>
            <w:tcW w:w="5513" w:type="dxa"/>
            <w:vMerge/>
          </w:tcPr>
          <w:p w:rsidR="00AD681A" w:rsidRDefault="00AD681A">
            <w:pPr>
              <w:pStyle w:val="TableText"/>
              <w:spacing w:before="60" w:after="60" w:line="240" w:lineRule="auto"/>
              <w:rPr>
                <w:rFonts w:ascii="Arial" w:hAnsi="Arial" w:cs="Arial"/>
              </w:rPr>
            </w:pPr>
          </w:p>
        </w:tc>
      </w:tr>
      <w:tr w:rsidR="00AD681A" w:rsidTr="00276B96">
        <w:trPr>
          <w:cantSplit/>
          <w:trHeight w:val="726"/>
        </w:trPr>
        <w:tc>
          <w:tcPr>
            <w:tcW w:w="2160" w:type="dxa"/>
          </w:tcPr>
          <w:p w:rsidR="00AD681A" w:rsidRPr="00071906" w:rsidRDefault="00AD681A" w:rsidP="005D758D">
            <w:pPr>
              <w:pStyle w:val="TableText"/>
              <w:spacing w:before="60" w:after="60" w:line="240" w:lineRule="auto"/>
              <w:rPr>
                <w:rFonts w:ascii="Arial" w:hAnsi="Arial" w:cs="Arial"/>
                <w:b/>
              </w:rPr>
            </w:pPr>
            <w:r w:rsidRPr="00071906">
              <w:rPr>
                <w:rFonts w:ascii="Arial" w:hAnsi="Arial" w:cs="Arial"/>
                <w:b/>
              </w:rPr>
              <w:t>Planning and management</w:t>
            </w:r>
          </w:p>
        </w:tc>
        <w:tc>
          <w:tcPr>
            <w:tcW w:w="959" w:type="dxa"/>
          </w:tcPr>
          <w:p w:rsidR="00AD681A" w:rsidRDefault="00AD681A" w:rsidP="00276B96">
            <w:pPr>
              <w:pStyle w:val="TableText"/>
              <w:spacing w:before="60" w:after="60" w:line="240" w:lineRule="auto"/>
              <w:jc w:val="center"/>
              <w:rPr>
                <w:rFonts w:ascii="Arial" w:hAnsi="Arial" w:cs="Arial"/>
              </w:rPr>
            </w:pPr>
            <w:r>
              <w:rPr>
                <w:rFonts w:ascii="Arial" w:hAnsi="Arial" w:cs="Arial"/>
              </w:rPr>
              <w:t>5</w:t>
            </w:r>
          </w:p>
        </w:tc>
        <w:tc>
          <w:tcPr>
            <w:tcW w:w="992" w:type="dxa"/>
          </w:tcPr>
          <w:p w:rsidR="00AD681A" w:rsidRDefault="00276B96" w:rsidP="00276B96">
            <w:pPr>
              <w:pStyle w:val="TableText"/>
              <w:spacing w:before="60" w:after="60" w:line="240" w:lineRule="auto"/>
              <w:jc w:val="center"/>
              <w:rPr>
                <w:rFonts w:ascii="Arial" w:hAnsi="Arial" w:cs="Arial"/>
              </w:rPr>
            </w:pPr>
            <w:r>
              <w:rPr>
                <w:rFonts w:ascii="Arial" w:hAnsi="Arial" w:cs="Arial"/>
              </w:rPr>
              <w:t>5</w:t>
            </w:r>
          </w:p>
        </w:tc>
        <w:tc>
          <w:tcPr>
            <w:tcW w:w="1134" w:type="dxa"/>
          </w:tcPr>
          <w:p w:rsidR="00AD681A" w:rsidRDefault="00276B96" w:rsidP="00276B96">
            <w:pPr>
              <w:pStyle w:val="TableText"/>
              <w:spacing w:before="60" w:after="60" w:line="240" w:lineRule="auto"/>
              <w:jc w:val="center"/>
              <w:rPr>
                <w:rFonts w:ascii="Arial" w:hAnsi="Arial" w:cs="Arial"/>
              </w:rPr>
            </w:pPr>
            <w:r>
              <w:rPr>
                <w:rFonts w:ascii="Arial" w:hAnsi="Arial" w:cs="Arial"/>
              </w:rPr>
              <w:t>0</w:t>
            </w:r>
          </w:p>
        </w:tc>
        <w:tc>
          <w:tcPr>
            <w:tcW w:w="1134" w:type="dxa"/>
          </w:tcPr>
          <w:p w:rsidR="00AD681A" w:rsidRDefault="00AD681A" w:rsidP="002D3DA2">
            <w:pPr>
              <w:pStyle w:val="TableText"/>
              <w:spacing w:before="60" w:after="60" w:line="240" w:lineRule="auto"/>
              <w:jc w:val="center"/>
              <w:rPr>
                <w:rFonts w:ascii="Arial" w:hAnsi="Arial"/>
              </w:rPr>
            </w:pPr>
            <w:r>
              <w:rPr>
                <w:rFonts w:ascii="Arial" w:hAnsi="Arial"/>
              </w:rPr>
              <w:t>-</w:t>
            </w:r>
          </w:p>
        </w:tc>
        <w:tc>
          <w:tcPr>
            <w:tcW w:w="1418" w:type="dxa"/>
          </w:tcPr>
          <w:p w:rsidR="00AD681A" w:rsidRDefault="00AD681A">
            <w:pPr>
              <w:pStyle w:val="TableText"/>
              <w:spacing w:before="60" w:after="60" w:line="240" w:lineRule="auto"/>
              <w:jc w:val="center"/>
              <w:rPr>
                <w:rFonts w:ascii="Arial" w:hAnsi="Arial" w:cs="Arial"/>
              </w:rPr>
            </w:pPr>
            <w:r>
              <w:rPr>
                <w:rFonts w:ascii="Arial" w:hAnsi="Arial" w:cs="Arial"/>
              </w:rPr>
              <w:t>-</w:t>
            </w:r>
          </w:p>
        </w:tc>
        <w:tc>
          <w:tcPr>
            <w:tcW w:w="5513" w:type="dxa"/>
          </w:tcPr>
          <w:p w:rsidR="00AD681A" w:rsidRDefault="00AD681A">
            <w:pPr>
              <w:pStyle w:val="TableText"/>
              <w:spacing w:before="60" w:after="60" w:line="240" w:lineRule="auto"/>
              <w:rPr>
                <w:rFonts w:ascii="Arial" w:hAnsi="Arial" w:cs="Arial"/>
              </w:rPr>
            </w:pPr>
            <w:r>
              <w:rPr>
                <w:rFonts w:ascii="Arial" w:hAnsi="Arial" w:cs="Arial"/>
              </w:rPr>
              <w:t xml:space="preserve">This time relates to the production of the annual plan and report, planning/ progress meetings and general advice. </w:t>
            </w:r>
          </w:p>
        </w:tc>
      </w:tr>
      <w:tr w:rsidR="00AD681A" w:rsidTr="00276B96">
        <w:trPr>
          <w:cantSplit/>
        </w:trPr>
        <w:tc>
          <w:tcPr>
            <w:tcW w:w="2160" w:type="dxa"/>
          </w:tcPr>
          <w:p w:rsidR="00AD681A" w:rsidRDefault="00AD681A" w:rsidP="005D758D">
            <w:pPr>
              <w:pStyle w:val="TableText"/>
              <w:spacing w:before="60" w:after="60" w:line="240" w:lineRule="auto"/>
              <w:rPr>
                <w:rFonts w:ascii="Arial" w:hAnsi="Arial" w:cs="Arial"/>
                <w:b/>
              </w:rPr>
            </w:pPr>
            <w:r>
              <w:rPr>
                <w:rFonts w:ascii="Arial" w:hAnsi="Arial" w:cs="Arial"/>
                <w:b/>
              </w:rPr>
              <w:t>Total Days</w:t>
            </w:r>
          </w:p>
        </w:tc>
        <w:tc>
          <w:tcPr>
            <w:tcW w:w="959" w:type="dxa"/>
          </w:tcPr>
          <w:p w:rsidR="00AD681A" w:rsidRPr="00045C98" w:rsidRDefault="00AD681A" w:rsidP="00276B96">
            <w:pPr>
              <w:pStyle w:val="TableText"/>
              <w:spacing w:before="60" w:after="60" w:line="240" w:lineRule="auto"/>
              <w:jc w:val="center"/>
              <w:rPr>
                <w:rFonts w:ascii="Arial" w:hAnsi="Arial" w:cs="Arial"/>
                <w:b/>
              </w:rPr>
            </w:pPr>
            <w:r>
              <w:rPr>
                <w:rFonts w:ascii="Arial" w:hAnsi="Arial" w:cs="Arial"/>
                <w:b/>
              </w:rPr>
              <w:t>85</w:t>
            </w:r>
          </w:p>
        </w:tc>
        <w:tc>
          <w:tcPr>
            <w:tcW w:w="992" w:type="dxa"/>
          </w:tcPr>
          <w:p w:rsidR="00AD681A" w:rsidRPr="001B73BE" w:rsidRDefault="00276B96" w:rsidP="00276B96">
            <w:pPr>
              <w:pStyle w:val="TableText"/>
              <w:spacing w:before="60" w:after="60" w:line="240" w:lineRule="auto"/>
              <w:jc w:val="center"/>
              <w:rPr>
                <w:rFonts w:ascii="Arial" w:hAnsi="Arial" w:cs="Arial"/>
                <w:b/>
              </w:rPr>
            </w:pPr>
            <w:r>
              <w:rPr>
                <w:rFonts w:ascii="Arial" w:hAnsi="Arial" w:cs="Arial"/>
                <w:b/>
              </w:rPr>
              <w:t>71</w:t>
            </w:r>
          </w:p>
        </w:tc>
        <w:tc>
          <w:tcPr>
            <w:tcW w:w="1134" w:type="dxa"/>
          </w:tcPr>
          <w:p w:rsidR="00AD681A" w:rsidRPr="001B73BE" w:rsidRDefault="00276B96" w:rsidP="00276B96">
            <w:pPr>
              <w:pStyle w:val="TableText"/>
              <w:spacing w:before="60" w:after="60" w:line="240" w:lineRule="auto"/>
              <w:jc w:val="center"/>
              <w:rPr>
                <w:rFonts w:ascii="Arial" w:hAnsi="Arial" w:cs="Arial"/>
                <w:b/>
              </w:rPr>
            </w:pPr>
            <w:r>
              <w:rPr>
                <w:rFonts w:ascii="Arial" w:hAnsi="Arial" w:cs="Arial"/>
                <w:b/>
              </w:rPr>
              <w:t>(14)</w:t>
            </w:r>
          </w:p>
        </w:tc>
        <w:tc>
          <w:tcPr>
            <w:tcW w:w="2552" w:type="dxa"/>
            <w:gridSpan w:val="2"/>
          </w:tcPr>
          <w:p w:rsidR="00AD681A" w:rsidRDefault="00AD681A">
            <w:pPr>
              <w:pStyle w:val="TableText"/>
              <w:spacing w:before="60" w:after="60" w:line="240" w:lineRule="auto"/>
              <w:jc w:val="center"/>
              <w:rPr>
                <w:rFonts w:ascii="Arial" w:hAnsi="Arial" w:cs="Arial"/>
                <w:b/>
              </w:rPr>
            </w:pPr>
          </w:p>
        </w:tc>
        <w:tc>
          <w:tcPr>
            <w:tcW w:w="5513" w:type="dxa"/>
          </w:tcPr>
          <w:p w:rsidR="00AD681A" w:rsidRDefault="00AD681A">
            <w:pPr>
              <w:pStyle w:val="TableText"/>
              <w:spacing w:before="60" w:after="60" w:line="240" w:lineRule="auto"/>
              <w:rPr>
                <w:rFonts w:ascii="Arial" w:hAnsi="Arial" w:cs="Arial"/>
                <w:b/>
              </w:rPr>
            </w:pPr>
          </w:p>
        </w:tc>
      </w:tr>
    </w:tbl>
    <w:p w:rsidR="00D77E7B" w:rsidRDefault="00D77E7B" w:rsidP="002D7892">
      <w:pPr>
        <w:pStyle w:val="BodyText"/>
        <w:rPr>
          <w:rFonts w:ascii="Arial" w:hAnsi="Arial" w:cs="Arial"/>
          <w:b/>
        </w:rPr>
      </w:pPr>
    </w:p>
    <w:p w:rsidR="00D77E7B" w:rsidRDefault="00D77E7B" w:rsidP="002D7892">
      <w:pPr>
        <w:pStyle w:val="BodyText"/>
        <w:rPr>
          <w:rFonts w:ascii="Arial" w:hAnsi="Arial" w:cs="Arial"/>
          <w:b/>
        </w:rPr>
        <w:sectPr w:rsidR="00D77E7B" w:rsidSect="005D758D">
          <w:headerReference w:type="default" r:id="rId15"/>
          <w:footerReference w:type="default" r:id="rId16"/>
          <w:pgSz w:w="15840" w:h="12240" w:orient="landscape"/>
          <w:pgMar w:top="1418" w:right="1440" w:bottom="1276" w:left="1440" w:header="709" w:footer="709" w:gutter="0"/>
          <w:cols w:space="708"/>
          <w:titlePg/>
          <w:docGrid w:linePitch="360"/>
        </w:sectPr>
      </w:pPr>
    </w:p>
    <w:p w:rsidR="00D77E7B" w:rsidRPr="00AF43EE" w:rsidRDefault="00D77E7B" w:rsidP="002114FB">
      <w:pPr>
        <w:pStyle w:val="BodyText"/>
        <w:ind w:left="-360" w:firstLine="360"/>
        <w:rPr>
          <w:rFonts w:ascii="Arial Bold" w:hAnsi="Arial Bold"/>
          <w:b/>
          <w:sz w:val="24"/>
        </w:rPr>
      </w:pPr>
      <w:r w:rsidRPr="00AF43EE">
        <w:rPr>
          <w:rFonts w:ascii="Arial Bold" w:hAnsi="Arial Bold"/>
          <w:b/>
          <w:sz w:val="24"/>
        </w:rPr>
        <w:lastRenderedPageBreak/>
        <w:t>Summary of our findings and assurance</w:t>
      </w:r>
    </w:p>
    <w:p w:rsidR="00D77E7B" w:rsidRPr="002114FB" w:rsidRDefault="00D77E7B" w:rsidP="002114FB">
      <w:pPr>
        <w:numPr>
          <w:ilvl w:val="0"/>
          <w:numId w:val="25"/>
        </w:numPr>
        <w:spacing w:after="240" w:line="240" w:lineRule="auto"/>
        <w:rPr>
          <w:rFonts w:ascii="Arial Bold" w:hAnsi="Arial Bold"/>
          <w:b/>
          <w:sz w:val="24"/>
        </w:rPr>
      </w:pPr>
      <w:r w:rsidRPr="002114FB">
        <w:rPr>
          <w:rFonts w:ascii="Arial Bold" w:hAnsi="Arial Bold"/>
          <w:b/>
          <w:sz w:val="24"/>
        </w:rPr>
        <w:t>Scope, responsibilities and assurance</w:t>
      </w:r>
    </w:p>
    <w:p w:rsidR="00D77E7B" w:rsidRPr="0052176E" w:rsidRDefault="00D77E7B" w:rsidP="002114FB">
      <w:pPr>
        <w:spacing w:after="240"/>
        <w:ind w:left="1080"/>
        <w:rPr>
          <w:rFonts w:ascii="Arial" w:hAnsi="Arial" w:cs="Arial"/>
          <w:b/>
          <w:i/>
          <w:sz w:val="24"/>
        </w:rPr>
      </w:pPr>
      <w:r w:rsidRPr="0052176E">
        <w:rPr>
          <w:rFonts w:ascii="Arial" w:hAnsi="Arial" w:cs="Arial"/>
          <w:b/>
          <w:i/>
          <w:sz w:val="24"/>
        </w:rPr>
        <w:t>Approach</w:t>
      </w:r>
    </w:p>
    <w:p w:rsidR="00D77E7B" w:rsidRPr="002114FB" w:rsidRDefault="00D77E7B" w:rsidP="002114FB">
      <w:pPr>
        <w:pStyle w:val="BodyText"/>
        <w:numPr>
          <w:ilvl w:val="1"/>
          <w:numId w:val="25"/>
        </w:numPr>
        <w:rPr>
          <w:rFonts w:ascii="Arial" w:hAnsi="Arial"/>
          <w:sz w:val="24"/>
        </w:rPr>
      </w:pPr>
      <w:r w:rsidRPr="002114FB">
        <w:rPr>
          <w:rFonts w:ascii="Arial" w:hAnsi="Arial"/>
          <w:sz w:val="24"/>
        </w:rPr>
        <w:t xml:space="preserve">In accordance with the </w:t>
      </w:r>
      <w:r w:rsidR="005C460B">
        <w:rPr>
          <w:rFonts w:ascii="Arial" w:hAnsi="Arial"/>
          <w:sz w:val="24"/>
        </w:rPr>
        <w:t>Public Sector internal Audit Standards</w:t>
      </w:r>
      <w:r w:rsidRPr="002114FB">
        <w:rPr>
          <w:rFonts w:ascii="Arial" w:hAnsi="Arial"/>
          <w:sz w:val="24"/>
        </w:rPr>
        <w:t xml:space="preserve">, the scope of internal audit encompasses all of the </w:t>
      </w:r>
      <w:r w:rsidR="00EC2B89">
        <w:rPr>
          <w:rFonts w:ascii="Arial" w:hAnsi="Arial"/>
          <w:sz w:val="24"/>
        </w:rPr>
        <w:t>c</w:t>
      </w:r>
      <w:r>
        <w:rPr>
          <w:rFonts w:ascii="Arial" w:hAnsi="Arial"/>
          <w:sz w:val="24"/>
        </w:rPr>
        <w:t>ouncil's</w:t>
      </w:r>
      <w:r w:rsidRPr="002114FB">
        <w:rPr>
          <w:rFonts w:ascii="Arial" w:hAnsi="Arial"/>
          <w:sz w:val="24"/>
        </w:rPr>
        <w:t xml:space="preserve"> operations, resources and services including where they are provided by other organisations on their behalf.</w:t>
      </w:r>
    </w:p>
    <w:p w:rsidR="00D77E7B" w:rsidRPr="0052176E" w:rsidRDefault="00D77E7B" w:rsidP="002114FB">
      <w:pPr>
        <w:spacing w:after="240"/>
        <w:ind w:left="1080"/>
        <w:rPr>
          <w:rFonts w:ascii="Arial" w:hAnsi="Arial" w:cs="Arial"/>
          <w:b/>
          <w:i/>
          <w:sz w:val="24"/>
        </w:rPr>
      </w:pPr>
      <w:r w:rsidRPr="0052176E">
        <w:rPr>
          <w:rFonts w:ascii="Arial" w:hAnsi="Arial" w:cs="Arial"/>
          <w:b/>
          <w:i/>
          <w:sz w:val="24"/>
        </w:rPr>
        <w:t>Responsibilities of management and internal auditors</w:t>
      </w:r>
    </w:p>
    <w:p w:rsidR="00D77E7B" w:rsidRPr="002114FB" w:rsidRDefault="00D77E7B" w:rsidP="002114FB">
      <w:pPr>
        <w:pStyle w:val="BodyText"/>
        <w:numPr>
          <w:ilvl w:val="1"/>
          <w:numId w:val="25"/>
        </w:numPr>
        <w:rPr>
          <w:rFonts w:ascii="Arial" w:hAnsi="Arial"/>
          <w:sz w:val="24"/>
        </w:rPr>
      </w:pPr>
      <w:r w:rsidRPr="002114FB">
        <w:rPr>
          <w:rFonts w:ascii="Arial" w:hAnsi="Arial"/>
          <w:sz w:val="24"/>
        </w:rPr>
        <w:t>It is management’s responsibility to maintain systems of risk management, internal control and governance.  Internal audit is an element of the internal control framework assisting management in the effective discharge of its responsibilities and functions by examining and evaluating controls.  Internal auditors cannot therefore be held responsible for internal control failures.</w:t>
      </w:r>
    </w:p>
    <w:p w:rsidR="00D77E7B" w:rsidRPr="002114FB" w:rsidRDefault="00D77E7B" w:rsidP="002114FB">
      <w:pPr>
        <w:pStyle w:val="BodyText"/>
        <w:numPr>
          <w:ilvl w:val="1"/>
          <w:numId w:val="25"/>
        </w:numPr>
        <w:rPr>
          <w:rFonts w:ascii="Arial" w:hAnsi="Arial"/>
          <w:sz w:val="24"/>
        </w:rPr>
      </w:pPr>
      <w:r w:rsidRPr="002114FB">
        <w:rPr>
          <w:rFonts w:ascii="Arial" w:hAnsi="Arial"/>
          <w:sz w:val="24"/>
        </w:rPr>
        <w:t>However, we have planned our work so that we have a reasonable expectation of detecting significant control weaknesses.  We have reported all such weaknesses to you as they have become known to us, without undue delay, and have worked with you to develop proposals for remedial action.</w:t>
      </w:r>
    </w:p>
    <w:p w:rsidR="00D77E7B" w:rsidRPr="002114FB" w:rsidRDefault="00D77E7B" w:rsidP="002114FB">
      <w:pPr>
        <w:pStyle w:val="BodyText"/>
        <w:numPr>
          <w:ilvl w:val="1"/>
          <w:numId w:val="25"/>
        </w:numPr>
        <w:rPr>
          <w:rFonts w:ascii="Arial" w:hAnsi="Arial"/>
          <w:sz w:val="24"/>
        </w:rPr>
      </w:pPr>
      <w:r w:rsidRPr="002114FB">
        <w:rPr>
          <w:rFonts w:ascii="Arial" w:hAnsi="Arial"/>
          <w:sz w:val="24"/>
        </w:rPr>
        <w:t>Internal audit procedures alone do not guarantee that fraud will be detected.  Accordingly, our examinations as internal auditors should not be relied upon solely to disclose fraud or other irregularities which may exist, unless we are requested to carry out a special investigation for such activities in a particular area.</w:t>
      </w:r>
    </w:p>
    <w:p w:rsidR="00D77E7B" w:rsidRPr="002114FB" w:rsidRDefault="00D77E7B" w:rsidP="002114FB">
      <w:pPr>
        <w:pStyle w:val="BodyText"/>
        <w:numPr>
          <w:ilvl w:val="1"/>
          <w:numId w:val="25"/>
        </w:numPr>
        <w:rPr>
          <w:rFonts w:ascii="Arial" w:hAnsi="Arial"/>
          <w:sz w:val="24"/>
        </w:rPr>
      </w:pPr>
      <w:r w:rsidRPr="002114FB">
        <w:rPr>
          <w:rFonts w:ascii="Arial" w:hAnsi="Arial"/>
          <w:sz w:val="24"/>
        </w:rPr>
        <w:t>Internal audit’s role includes assessing the adequacy of the risk management processes, key internal control systems and corporate governance arrangements put in place by management and performing testing on a sample of transactions to ensure those controls were operating for the period under review.</w:t>
      </w:r>
    </w:p>
    <w:p w:rsidR="00D77E7B" w:rsidRPr="0052176E" w:rsidRDefault="00D77E7B" w:rsidP="002114FB">
      <w:pPr>
        <w:spacing w:after="240"/>
        <w:ind w:left="1080"/>
        <w:rPr>
          <w:rFonts w:ascii="Arial" w:hAnsi="Arial" w:cs="Arial"/>
          <w:b/>
          <w:i/>
          <w:sz w:val="24"/>
        </w:rPr>
      </w:pPr>
      <w:r w:rsidRPr="0052176E">
        <w:rPr>
          <w:rFonts w:ascii="Arial" w:hAnsi="Arial" w:cs="Arial"/>
          <w:b/>
          <w:i/>
          <w:sz w:val="24"/>
        </w:rPr>
        <w:t>Basis of our assessment</w:t>
      </w:r>
    </w:p>
    <w:p w:rsidR="00D77E7B" w:rsidRDefault="00D77E7B" w:rsidP="002114FB">
      <w:pPr>
        <w:pStyle w:val="BodyText"/>
        <w:numPr>
          <w:ilvl w:val="1"/>
          <w:numId w:val="25"/>
        </w:numPr>
        <w:rPr>
          <w:rFonts w:ascii="Arial" w:hAnsi="Arial"/>
          <w:sz w:val="24"/>
        </w:rPr>
      </w:pPr>
      <w:r w:rsidRPr="002114FB">
        <w:rPr>
          <w:rFonts w:ascii="Arial" w:hAnsi="Arial"/>
          <w:sz w:val="24"/>
        </w:rPr>
        <w:t>Our opinion on the adequacy of control arrangements is based upon the result of internal audit reviews undertaken during the period in accordance with the plan</w:t>
      </w:r>
      <w:r w:rsidR="001E59A6">
        <w:rPr>
          <w:rFonts w:ascii="Arial" w:hAnsi="Arial"/>
          <w:sz w:val="24"/>
        </w:rPr>
        <w:t xml:space="preserve"> approved by </w:t>
      </w:r>
      <w:r>
        <w:rPr>
          <w:rFonts w:ascii="Arial" w:hAnsi="Arial"/>
          <w:sz w:val="24"/>
        </w:rPr>
        <w:t>the Pension Fund Committee</w:t>
      </w:r>
      <w:r w:rsidRPr="002114FB">
        <w:rPr>
          <w:rFonts w:ascii="Arial" w:hAnsi="Arial"/>
          <w:sz w:val="24"/>
        </w:rPr>
        <w:t>.  We have obtained sufficient, reliable and relevant evidence to support the recommendations that we have made.</w:t>
      </w:r>
    </w:p>
    <w:p w:rsidR="00D77E7B" w:rsidRPr="002114FB" w:rsidRDefault="00D77E7B" w:rsidP="002114FB">
      <w:pPr>
        <w:pStyle w:val="BodyText"/>
        <w:rPr>
          <w:rFonts w:ascii="Arial" w:hAnsi="Arial"/>
          <w:sz w:val="24"/>
        </w:rPr>
      </w:pPr>
    </w:p>
    <w:p w:rsidR="00D77E7B" w:rsidRPr="0052176E" w:rsidRDefault="00D77E7B" w:rsidP="002114FB">
      <w:pPr>
        <w:spacing w:after="240"/>
        <w:ind w:left="1080"/>
        <w:rPr>
          <w:rFonts w:ascii="Arial" w:hAnsi="Arial" w:cs="Arial"/>
          <w:b/>
          <w:i/>
          <w:sz w:val="24"/>
        </w:rPr>
      </w:pPr>
      <w:r w:rsidRPr="0052176E">
        <w:rPr>
          <w:rFonts w:ascii="Arial" w:hAnsi="Arial" w:cs="Arial"/>
          <w:b/>
          <w:i/>
          <w:sz w:val="24"/>
        </w:rPr>
        <w:t>Limitations to the scope of our work</w:t>
      </w:r>
    </w:p>
    <w:p w:rsidR="00D77E7B" w:rsidRPr="002114FB" w:rsidRDefault="00D77E7B" w:rsidP="002114FB">
      <w:pPr>
        <w:pStyle w:val="BodyText"/>
        <w:numPr>
          <w:ilvl w:val="1"/>
          <w:numId w:val="25"/>
        </w:numPr>
        <w:rPr>
          <w:rFonts w:ascii="Arial" w:hAnsi="Arial"/>
          <w:sz w:val="24"/>
        </w:rPr>
      </w:pPr>
      <w:r w:rsidRPr="002114FB">
        <w:rPr>
          <w:rFonts w:ascii="Arial" w:hAnsi="Arial"/>
          <w:sz w:val="24"/>
        </w:rPr>
        <w:t xml:space="preserve">No limitations have been placed on the scope or extent of the work we carried out during the year by the management or staff of the </w:t>
      </w:r>
      <w:r w:rsidR="00692D4F">
        <w:rPr>
          <w:rFonts w:ascii="Arial" w:hAnsi="Arial"/>
          <w:sz w:val="24"/>
        </w:rPr>
        <w:t>County Treasurer's Directorate or Your Pensions Service.</w:t>
      </w:r>
    </w:p>
    <w:p w:rsidR="00D77E7B" w:rsidRPr="0052176E" w:rsidRDefault="00D77E7B" w:rsidP="002114FB">
      <w:pPr>
        <w:spacing w:after="240"/>
        <w:ind w:left="1080"/>
        <w:rPr>
          <w:rFonts w:ascii="Arial" w:hAnsi="Arial" w:cs="Arial"/>
          <w:b/>
          <w:i/>
          <w:sz w:val="24"/>
        </w:rPr>
      </w:pPr>
      <w:r w:rsidRPr="0052176E">
        <w:rPr>
          <w:rFonts w:ascii="Arial" w:hAnsi="Arial" w:cs="Arial"/>
          <w:b/>
          <w:i/>
          <w:sz w:val="24"/>
        </w:rPr>
        <w:t>Limitations on the assurance that internal audit can provide</w:t>
      </w:r>
    </w:p>
    <w:p w:rsidR="00D77E7B" w:rsidRPr="002114FB" w:rsidRDefault="00D77E7B" w:rsidP="002114FB">
      <w:pPr>
        <w:pStyle w:val="BodyText"/>
        <w:numPr>
          <w:ilvl w:val="1"/>
          <w:numId w:val="25"/>
        </w:numPr>
        <w:rPr>
          <w:rFonts w:ascii="Arial" w:hAnsi="Arial"/>
          <w:sz w:val="24"/>
        </w:rPr>
      </w:pPr>
      <w:r w:rsidRPr="002114FB">
        <w:rPr>
          <w:rFonts w:ascii="Arial" w:hAnsi="Arial"/>
          <w:sz w:val="24"/>
        </w:rPr>
        <w:t>There are inherent limitations as to what can be achieved by internal control and consequently limitations to the conclusions that can be drawn from our work as internal auditors.  These limitations include the possibility of faulty judgement in decision making, of breakdowns because of human error, of control activities being circumvented by the collusion of two or more people and of management overriding controls.  Also there is no certainty that internal controls will continue to operate effectively in future periods or that the controls will be adequate to mitigate all significant risks which may arise in future.</w:t>
      </w:r>
    </w:p>
    <w:p w:rsidR="00D77E7B" w:rsidRDefault="00D77E7B" w:rsidP="002114FB">
      <w:pPr>
        <w:pStyle w:val="BodyText"/>
        <w:numPr>
          <w:ilvl w:val="1"/>
          <w:numId w:val="25"/>
        </w:numPr>
        <w:rPr>
          <w:rFonts w:ascii="Arial" w:hAnsi="Arial"/>
          <w:sz w:val="24"/>
        </w:rPr>
      </w:pPr>
      <w:r w:rsidRPr="002114FB">
        <w:rPr>
          <w:rFonts w:ascii="Arial" w:hAnsi="Arial"/>
          <w:sz w:val="24"/>
        </w:rPr>
        <w:t>Decisions made in designing internal controls inevitably involve the acceptance of some degree of risk.  As the outcome of the operation of internal controls cannot be predicted with absolute assurance any assessment of internal control is judgmental.</w:t>
      </w:r>
    </w:p>
    <w:p w:rsidR="0058666B" w:rsidRDefault="0058666B" w:rsidP="0058666B">
      <w:pPr>
        <w:autoSpaceDE w:val="0"/>
        <w:autoSpaceDN w:val="0"/>
        <w:adjustRightInd w:val="0"/>
        <w:spacing w:line="240" w:lineRule="auto"/>
        <w:ind w:left="792" w:firstLine="288"/>
        <w:rPr>
          <w:rFonts w:ascii="Arial" w:hAnsi="Arial" w:cs="Arial"/>
          <w:b/>
          <w:bCs/>
          <w:i/>
          <w:sz w:val="24"/>
          <w:szCs w:val="24"/>
          <w:lang w:eastAsia="en-GB"/>
        </w:rPr>
      </w:pPr>
      <w:r w:rsidRPr="00AF0705">
        <w:rPr>
          <w:rFonts w:ascii="Arial" w:hAnsi="Arial" w:cs="Arial"/>
          <w:b/>
          <w:bCs/>
          <w:i/>
          <w:sz w:val="24"/>
          <w:szCs w:val="24"/>
          <w:lang w:eastAsia="en-GB"/>
        </w:rPr>
        <w:t>Audit assurance levels</w:t>
      </w:r>
    </w:p>
    <w:p w:rsidR="0058666B" w:rsidRPr="00AF0705" w:rsidRDefault="0058666B" w:rsidP="0058666B">
      <w:pPr>
        <w:autoSpaceDE w:val="0"/>
        <w:autoSpaceDN w:val="0"/>
        <w:adjustRightInd w:val="0"/>
        <w:spacing w:line="240" w:lineRule="auto"/>
        <w:ind w:left="432"/>
        <w:rPr>
          <w:rFonts w:ascii="Arial" w:hAnsi="Arial" w:cs="Arial"/>
          <w:b/>
          <w:bCs/>
          <w:i/>
          <w:sz w:val="24"/>
          <w:szCs w:val="24"/>
          <w:lang w:eastAsia="en-GB"/>
        </w:rPr>
      </w:pPr>
    </w:p>
    <w:p w:rsidR="0058666B" w:rsidRPr="003F1782" w:rsidRDefault="0058666B" w:rsidP="0058666B">
      <w:pPr>
        <w:pStyle w:val="BodyText"/>
        <w:numPr>
          <w:ilvl w:val="1"/>
          <w:numId w:val="25"/>
        </w:numPr>
        <w:rPr>
          <w:rFonts w:ascii="Arial" w:hAnsi="Arial" w:cs="Arial"/>
          <w:sz w:val="24"/>
          <w:szCs w:val="24"/>
          <w:lang w:eastAsia="en-GB"/>
        </w:rPr>
      </w:pPr>
      <w:r w:rsidRPr="003F1782">
        <w:rPr>
          <w:rFonts w:ascii="Arial" w:hAnsi="Arial" w:cs="Arial"/>
          <w:sz w:val="24"/>
          <w:szCs w:val="24"/>
          <w:lang w:eastAsia="en-GB"/>
        </w:rPr>
        <w:t>The assurance we can provide over any area of control falls into one of four</w:t>
      </w:r>
      <w:r>
        <w:rPr>
          <w:rFonts w:ascii="Arial" w:hAnsi="Arial" w:cs="Arial"/>
          <w:sz w:val="24"/>
          <w:szCs w:val="24"/>
          <w:lang w:eastAsia="en-GB"/>
        </w:rPr>
        <w:t xml:space="preserve"> </w:t>
      </w:r>
      <w:r w:rsidRPr="003F1782">
        <w:rPr>
          <w:rFonts w:ascii="Arial" w:hAnsi="Arial" w:cs="Arial"/>
          <w:sz w:val="24"/>
          <w:szCs w:val="24"/>
          <w:lang w:eastAsia="en-GB"/>
        </w:rPr>
        <w:t>categories as follows:</w:t>
      </w:r>
    </w:p>
    <w:p w:rsidR="0058666B" w:rsidRDefault="0058666B" w:rsidP="0058666B">
      <w:pPr>
        <w:autoSpaceDE w:val="0"/>
        <w:autoSpaceDN w:val="0"/>
        <w:adjustRightInd w:val="0"/>
        <w:spacing w:line="240" w:lineRule="auto"/>
        <w:ind w:left="1080"/>
        <w:rPr>
          <w:rFonts w:ascii="Arial" w:hAnsi="Arial" w:cs="Arial"/>
          <w:sz w:val="24"/>
          <w:szCs w:val="24"/>
          <w:lang w:eastAsia="en-GB"/>
        </w:rPr>
      </w:pPr>
      <w:r>
        <w:rPr>
          <w:rFonts w:ascii="Arial" w:hAnsi="Arial" w:cs="Arial"/>
          <w:b/>
          <w:bCs/>
          <w:sz w:val="24"/>
          <w:szCs w:val="24"/>
          <w:lang w:eastAsia="en-GB"/>
        </w:rPr>
        <w:t>Full assurance</w:t>
      </w:r>
      <w:r>
        <w:rPr>
          <w:rFonts w:ascii="Arial" w:hAnsi="Arial" w:cs="Arial"/>
          <w:sz w:val="24"/>
          <w:szCs w:val="24"/>
          <w:lang w:eastAsia="en-GB"/>
        </w:rPr>
        <w:t>: there is a sound system of internal control which is adequately designed to meet the service objectives and is effective in that controls are being consistently applied.</w:t>
      </w:r>
    </w:p>
    <w:p w:rsidR="0058666B" w:rsidRDefault="0058666B" w:rsidP="0058666B">
      <w:pPr>
        <w:autoSpaceDE w:val="0"/>
        <w:autoSpaceDN w:val="0"/>
        <w:adjustRightInd w:val="0"/>
        <w:spacing w:line="240" w:lineRule="auto"/>
        <w:ind w:left="432"/>
        <w:rPr>
          <w:rFonts w:ascii="Arial" w:hAnsi="Arial" w:cs="Arial"/>
          <w:sz w:val="24"/>
          <w:szCs w:val="24"/>
          <w:lang w:eastAsia="en-GB"/>
        </w:rPr>
      </w:pPr>
    </w:p>
    <w:p w:rsidR="0058666B" w:rsidRDefault="0058666B" w:rsidP="0058666B">
      <w:pPr>
        <w:autoSpaceDE w:val="0"/>
        <w:autoSpaceDN w:val="0"/>
        <w:adjustRightInd w:val="0"/>
        <w:spacing w:line="240" w:lineRule="auto"/>
        <w:ind w:left="1080"/>
        <w:rPr>
          <w:rFonts w:ascii="Arial" w:hAnsi="Arial" w:cs="Arial"/>
          <w:sz w:val="24"/>
          <w:szCs w:val="24"/>
          <w:lang w:eastAsia="en-GB"/>
        </w:rPr>
      </w:pPr>
      <w:r>
        <w:rPr>
          <w:rFonts w:ascii="Arial" w:hAnsi="Arial" w:cs="Arial"/>
          <w:b/>
          <w:bCs/>
          <w:sz w:val="24"/>
          <w:szCs w:val="24"/>
          <w:lang w:eastAsia="en-GB"/>
        </w:rPr>
        <w:t>Substantial assurance</w:t>
      </w:r>
      <w:r>
        <w:rPr>
          <w:rFonts w:ascii="Arial" w:hAnsi="Arial" w:cs="Arial"/>
          <w:sz w:val="24"/>
          <w:szCs w:val="24"/>
          <w:lang w:eastAsia="en-GB"/>
        </w:rPr>
        <w:t>: there is a generally sound system of internal control, adequately designed to meet the service objectives, and controls are generally being applied consistently. However some weakness in the design and/ or inconsistent application of controls put the achievement of particular objectives at risk.</w:t>
      </w:r>
    </w:p>
    <w:p w:rsidR="0058666B" w:rsidRDefault="0058666B" w:rsidP="0058666B">
      <w:pPr>
        <w:autoSpaceDE w:val="0"/>
        <w:autoSpaceDN w:val="0"/>
        <w:adjustRightInd w:val="0"/>
        <w:spacing w:line="240" w:lineRule="auto"/>
        <w:ind w:left="432"/>
        <w:rPr>
          <w:rFonts w:ascii="Arial" w:hAnsi="Arial" w:cs="Arial"/>
          <w:sz w:val="24"/>
          <w:szCs w:val="24"/>
          <w:lang w:eastAsia="en-GB"/>
        </w:rPr>
      </w:pPr>
    </w:p>
    <w:p w:rsidR="0058666B" w:rsidRDefault="0058666B" w:rsidP="0058666B">
      <w:pPr>
        <w:autoSpaceDE w:val="0"/>
        <w:autoSpaceDN w:val="0"/>
        <w:adjustRightInd w:val="0"/>
        <w:spacing w:line="240" w:lineRule="auto"/>
        <w:ind w:left="1080"/>
        <w:rPr>
          <w:rFonts w:ascii="Arial" w:hAnsi="Arial" w:cs="Arial"/>
          <w:sz w:val="24"/>
          <w:szCs w:val="24"/>
          <w:lang w:eastAsia="en-GB"/>
        </w:rPr>
      </w:pPr>
      <w:r>
        <w:rPr>
          <w:rFonts w:ascii="Arial" w:hAnsi="Arial" w:cs="Arial"/>
          <w:b/>
          <w:bCs/>
          <w:sz w:val="24"/>
          <w:szCs w:val="24"/>
          <w:lang w:eastAsia="en-GB"/>
        </w:rPr>
        <w:t>Limited assurance</w:t>
      </w:r>
      <w:r>
        <w:rPr>
          <w:rFonts w:ascii="Arial" w:hAnsi="Arial" w:cs="Arial"/>
          <w:sz w:val="24"/>
          <w:szCs w:val="24"/>
          <w:lang w:eastAsia="en-GB"/>
        </w:rPr>
        <w:t>: weaknesses in the design and/ or inconsistent application of controls put the achievement of the service's objectives at risk.</w:t>
      </w:r>
    </w:p>
    <w:p w:rsidR="0058666B" w:rsidRDefault="0058666B" w:rsidP="0058666B">
      <w:pPr>
        <w:autoSpaceDE w:val="0"/>
        <w:autoSpaceDN w:val="0"/>
        <w:adjustRightInd w:val="0"/>
        <w:spacing w:line="240" w:lineRule="auto"/>
        <w:ind w:left="432"/>
        <w:rPr>
          <w:rFonts w:ascii="Arial" w:hAnsi="Arial" w:cs="Arial"/>
          <w:sz w:val="24"/>
          <w:szCs w:val="24"/>
          <w:lang w:eastAsia="en-GB"/>
        </w:rPr>
      </w:pPr>
    </w:p>
    <w:p w:rsidR="00D77E7B" w:rsidRPr="0058666B" w:rsidRDefault="0058666B" w:rsidP="0058666B">
      <w:pPr>
        <w:autoSpaceDE w:val="0"/>
        <w:autoSpaceDN w:val="0"/>
        <w:adjustRightInd w:val="0"/>
        <w:spacing w:line="240" w:lineRule="auto"/>
        <w:ind w:left="1080"/>
        <w:rPr>
          <w:rFonts w:ascii="Arial" w:hAnsi="Arial" w:cs="Arial"/>
          <w:sz w:val="24"/>
          <w:szCs w:val="24"/>
        </w:rPr>
      </w:pPr>
      <w:r w:rsidRPr="00AF0705">
        <w:rPr>
          <w:rFonts w:ascii="Arial" w:hAnsi="Arial" w:cs="Arial"/>
          <w:b/>
          <w:bCs/>
          <w:sz w:val="24"/>
          <w:szCs w:val="24"/>
          <w:lang w:eastAsia="en-GB"/>
        </w:rPr>
        <w:t>No assurance</w:t>
      </w:r>
      <w:r w:rsidRPr="00AF0705">
        <w:rPr>
          <w:rFonts w:ascii="Arial" w:hAnsi="Arial" w:cs="Arial"/>
          <w:sz w:val="24"/>
          <w:szCs w:val="24"/>
          <w:lang w:eastAsia="en-GB"/>
        </w:rPr>
        <w:t xml:space="preserve">: weaknesses in control and/ or consistent non-compliance with controls could result/ has resulted in failure to achieve the </w:t>
      </w:r>
      <w:r>
        <w:rPr>
          <w:rFonts w:ascii="Arial" w:hAnsi="Arial" w:cs="Arial"/>
          <w:sz w:val="24"/>
          <w:szCs w:val="24"/>
          <w:lang w:eastAsia="en-GB"/>
        </w:rPr>
        <w:t>service</w:t>
      </w:r>
      <w:r w:rsidRPr="00AF0705">
        <w:rPr>
          <w:rFonts w:ascii="Arial" w:hAnsi="Arial" w:cs="Arial"/>
          <w:sz w:val="24"/>
          <w:szCs w:val="24"/>
          <w:lang w:eastAsia="en-GB"/>
        </w:rPr>
        <w:t xml:space="preserve"> objectives.</w:t>
      </w:r>
    </w:p>
    <w:sectPr w:rsidR="00D77E7B" w:rsidRPr="0058666B" w:rsidSect="002114FB">
      <w:pgSz w:w="12240" w:h="15840"/>
      <w:pgMar w:top="1440" w:right="2115" w:bottom="1440"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B96" w:rsidRDefault="00276B96">
      <w:r>
        <w:separator/>
      </w:r>
    </w:p>
  </w:endnote>
  <w:endnote w:type="continuationSeparator" w:id="0">
    <w:p w:rsidR="00276B96" w:rsidRDefault="00276B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96" w:rsidRDefault="00AC26C8" w:rsidP="00C57A17">
    <w:pPr>
      <w:pStyle w:val="Footer"/>
      <w:framePr w:wrap="around" w:vAnchor="text" w:hAnchor="margin" w:xAlign="right" w:y="1"/>
      <w:rPr>
        <w:rStyle w:val="PageNumber"/>
      </w:rPr>
    </w:pPr>
    <w:r>
      <w:rPr>
        <w:rStyle w:val="PageNumber"/>
      </w:rPr>
      <w:fldChar w:fldCharType="begin"/>
    </w:r>
    <w:r w:rsidR="00276B96">
      <w:rPr>
        <w:rStyle w:val="PageNumber"/>
      </w:rPr>
      <w:instrText xml:space="preserve">PAGE  </w:instrText>
    </w:r>
    <w:r>
      <w:rPr>
        <w:rStyle w:val="PageNumber"/>
      </w:rPr>
      <w:fldChar w:fldCharType="end"/>
    </w:r>
  </w:p>
  <w:p w:rsidR="00276B96" w:rsidRDefault="00276B96" w:rsidP="00C57A1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96" w:rsidRDefault="00276B96" w:rsidP="00C57A1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6534"/>
      <w:docPartObj>
        <w:docPartGallery w:val="Page Numbers (Bottom of Page)"/>
        <w:docPartUnique/>
      </w:docPartObj>
    </w:sdtPr>
    <w:sdtContent>
      <w:p w:rsidR="00276B96" w:rsidRDefault="00AC26C8">
        <w:pPr>
          <w:pStyle w:val="Footer"/>
          <w:jc w:val="center"/>
        </w:pPr>
        <w:fldSimple w:instr=" PAGE   \* MERGEFORMAT ">
          <w:r w:rsidR="00941AB3">
            <w:rPr>
              <w:noProof/>
            </w:rPr>
            <w:t>8</w:t>
          </w:r>
        </w:fldSimple>
      </w:p>
    </w:sdtContent>
  </w:sdt>
  <w:p w:rsidR="00276B96" w:rsidRPr="00C57A17" w:rsidRDefault="00276B96" w:rsidP="00C57A1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96" w:rsidRPr="00E14CA2" w:rsidRDefault="00276B96" w:rsidP="00E14CA2">
    <w:pPr>
      <w:pStyle w:val="Footer"/>
    </w:pP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96" w:rsidRPr="001E24FE" w:rsidRDefault="00276B96" w:rsidP="00E14CA2">
    <w:pPr>
      <w:pStyle w:val="Footer"/>
      <w:rPr>
        <w:rFonts w:ascii="Arial" w:hAnsi="Arial"/>
      </w:rPr>
    </w:pPr>
    <w:r>
      <w:tab/>
    </w:r>
    <w:r w:rsidR="00AC26C8" w:rsidRPr="001E24FE">
      <w:rPr>
        <w:rStyle w:val="PageNumber"/>
        <w:rFonts w:ascii="Arial" w:hAnsi="Arial"/>
      </w:rPr>
      <w:fldChar w:fldCharType="begin"/>
    </w:r>
    <w:r w:rsidRPr="001E24FE">
      <w:rPr>
        <w:rStyle w:val="PageNumber"/>
        <w:rFonts w:ascii="Arial" w:hAnsi="Arial"/>
      </w:rPr>
      <w:instrText xml:space="preserve"> PAGE </w:instrText>
    </w:r>
    <w:r w:rsidR="00AC26C8" w:rsidRPr="001E24FE">
      <w:rPr>
        <w:rStyle w:val="PageNumber"/>
        <w:rFonts w:ascii="Arial" w:hAnsi="Arial"/>
      </w:rPr>
      <w:fldChar w:fldCharType="separate"/>
    </w:r>
    <w:r w:rsidR="00941AB3">
      <w:rPr>
        <w:rStyle w:val="PageNumber"/>
        <w:rFonts w:ascii="Arial" w:hAnsi="Arial"/>
        <w:noProof/>
      </w:rPr>
      <w:t>6</w:t>
    </w:r>
    <w:r w:rsidR="00AC26C8" w:rsidRPr="001E24FE">
      <w:rPr>
        <w:rStyle w:val="PageNumber"/>
        <w:rFonts w:ascii="Arial" w:hAnsi="Arial"/>
      </w:rPr>
      <w:fldChar w:fldCharType="end"/>
    </w:r>
    <w:r w:rsidRPr="001E24FE">
      <w:rPr>
        <w:rFonts w:ascii="Arial" w:hAnsi="Arial"/>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96" w:rsidRPr="001E24FE" w:rsidRDefault="00276B96" w:rsidP="00E14CA2">
    <w:pPr>
      <w:pStyle w:val="Footer"/>
      <w:rPr>
        <w:rFonts w:ascii="Arial" w:hAnsi="Arial" w:cs="Arial"/>
      </w:rPr>
    </w:pPr>
    <w:r>
      <w:tab/>
      <w:t xml:space="preserve">                                                                                  </w:t>
    </w:r>
    <w:r w:rsidR="00AC26C8" w:rsidRPr="001E24FE">
      <w:rPr>
        <w:rStyle w:val="PageNumber"/>
        <w:rFonts w:ascii="Arial" w:hAnsi="Arial" w:cs="Arial"/>
      </w:rPr>
      <w:fldChar w:fldCharType="begin"/>
    </w:r>
    <w:r w:rsidRPr="001E24FE">
      <w:rPr>
        <w:rStyle w:val="PageNumber"/>
        <w:rFonts w:ascii="Arial" w:hAnsi="Arial" w:cs="Arial"/>
      </w:rPr>
      <w:instrText xml:space="preserve"> PAGE </w:instrText>
    </w:r>
    <w:r w:rsidR="00AC26C8" w:rsidRPr="001E24FE">
      <w:rPr>
        <w:rStyle w:val="PageNumber"/>
        <w:rFonts w:ascii="Arial" w:hAnsi="Arial" w:cs="Arial"/>
      </w:rPr>
      <w:fldChar w:fldCharType="separate"/>
    </w:r>
    <w:r w:rsidR="00941AB3">
      <w:rPr>
        <w:rStyle w:val="PageNumber"/>
        <w:rFonts w:ascii="Arial" w:hAnsi="Arial" w:cs="Arial"/>
        <w:noProof/>
      </w:rPr>
      <w:t>9</w:t>
    </w:r>
    <w:r w:rsidR="00AC26C8" w:rsidRPr="001E24FE">
      <w:rPr>
        <w:rStyle w:val="PageNumber"/>
        <w:rFonts w:ascii="Arial" w:hAnsi="Arial" w:cs="Arial"/>
      </w:rPr>
      <w:fldChar w:fldCharType="end"/>
    </w:r>
    <w:r w:rsidRPr="001E24FE">
      <w:rPr>
        <w:rFonts w:ascii="Arial" w:hAnsi="Arial" w:cs="Aria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B96" w:rsidRDefault="00276B96">
      <w:r>
        <w:separator/>
      </w:r>
    </w:p>
  </w:footnote>
  <w:footnote w:type="continuationSeparator" w:id="0">
    <w:p w:rsidR="00276B96" w:rsidRDefault="00276B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96" w:rsidRPr="004636A1" w:rsidRDefault="00276B96">
    <w:pPr>
      <w:pStyle w:val="Header"/>
      <w:rPr>
        <w:rFonts w:ascii="Arial" w:hAnsi="Arial" w:cs="Arial"/>
      </w:rPr>
    </w:pPr>
    <w:smartTag w:uri="urn:schemas-microsoft-com:office:smarttags" w:element="place">
      <w:r w:rsidRPr="004636A1">
        <w:rPr>
          <w:rFonts w:ascii="Arial" w:hAnsi="Arial" w:cs="Arial"/>
        </w:rPr>
        <w:t>Lancashire</w:t>
      </w:r>
    </w:smartTag>
    <w:r w:rsidRPr="004636A1">
      <w:rPr>
        <w:rFonts w:ascii="Arial" w:hAnsi="Arial" w:cs="Arial"/>
      </w:rPr>
      <w:t xml:space="preserve"> </w:t>
    </w:r>
    <w:r>
      <w:rPr>
        <w:rFonts w:ascii="Arial" w:hAnsi="Arial" w:cs="Arial"/>
      </w:rPr>
      <w:t xml:space="preserve">County Council Internal Audit </w:t>
    </w:r>
    <w:r w:rsidRPr="004636A1">
      <w:rPr>
        <w:rFonts w:ascii="Arial" w:hAnsi="Arial" w:cs="Arial"/>
      </w:rPr>
      <w:t>Service</w:t>
    </w:r>
  </w:p>
  <w:p w:rsidR="00276B96" w:rsidRPr="004636A1" w:rsidRDefault="00276B96">
    <w:pPr>
      <w:pStyle w:val="Header"/>
      <w:rPr>
        <w:rFonts w:ascii="Arial" w:hAnsi="Arial" w:cs="Arial"/>
      </w:rPr>
    </w:pPr>
    <w:r>
      <w:rPr>
        <w:rFonts w:ascii="Arial" w:hAnsi="Arial" w:cs="Arial"/>
      </w:rPr>
      <w:t>Pension fund</w:t>
    </w:r>
    <w:r w:rsidRPr="004636A1">
      <w:rPr>
        <w:rFonts w:ascii="Arial" w:hAnsi="Arial" w:cs="Arial"/>
      </w:rPr>
      <w:t xml:space="preserve"> annual report </w:t>
    </w:r>
    <w:r>
      <w:rPr>
        <w:rFonts w:ascii="Arial" w:hAnsi="Arial" w:cs="Arial"/>
      </w:rPr>
      <w:t>for the year ended 31 March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96" w:rsidRPr="004636A1" w:rsidRDefault="00276B96" w:rsidP="00AD3817">
    <w:pPr>
      <w:pStyle w:val="Header"/>
      <w:rPr>
        <w:rFonts w:ascii="Arial" w:hAnsi="Arial" w:cs="Arial"/>
      </w:rPr>
    </w:pPr>
    <w:r w:rsidRPr="004636A1">
      <w:rPr>
        <w:rFonts w:ascii="Arial" w:hAnsi="Arial" w:cs="Arial"/>
      </w:rPr>
      <w:t xml:space="preserve">Lancashire </w:t>
    </w:r>
    <w:r>
      <w:rPr>
        <w:rFonts w:ascii="Arial" w:hAnsi="Arial" w:cs="Arial"/>
      </w:rPr>
      <w:t xml:space="preserve">County Council Internal </w:t>
    </w:r>
    <w:r w:rsidRPr="004636A1">
      <w:rPr>
        <w:rFonts w:ascii="Arial" w:hAnsi="Arial" w:cs="Arial"/>
      </w:rPr>
      <w:t>Audit Service</w:t>
    </w:r>
    <w:r>
      <w:rPr>
        <w:rFonts w:ascii="Arial" w:hAnsi="Arial" w:cs="Arial"/>
      </w:rPr>
      <w:tab/>
    </w:r>
    <w:r>
      <w:rPr>
        <w:rFonts w:ascii="Arial" w:hAnsi="Arial" w:cs="Arial"/>
      </w:rPr>
      <w:tab/>
    </w:r>
    <w:r>
      <w:rPr>
        <w:rFonts w:ascii="Arial" w:hAnsi="Arial" w:cs="Arial"/>
      </w:rPr>
      <w:tab/>
    </w:r>
  </w:p>
  <w:p w:rsidR="00276B96" w:rsidRPr="004636A1" w:rsidRDefault="00276B96" w:rsidP="00AD3817">
    <w:pPr>
      <w:pStyle w:val="Header"/>
      <w:rPr>
        <w:rFonts w:ascii="Arial" w:hAnsi="Arial" w:cs="Arial"/>
      </w:rPr>
    </w:pPr>
    <w:r w:rsidRPr="004636A1">
      <w:rPr>
        <w:rFonts w:ascii="Arial" w:hAnsi="Arial" w:cs="Arial"/>
      </w:rPr>
      <w:t xml:space="preserve">Annual report </w:t>
    </w:r>
    <w:r>
      <w:rPr>
        <w:rFonts w:ascii="Arial" w:hAnsi="Arial" w:cs="Arial"/>
      </w:rPr>
      <w:t>for the year ended 31 March 2014</w:t>
    </w:r>
  </w:p>
  <w:p w:rsidR="00276B96" w:rsidRPr="004636A1" w:rsidRDefault="00276B96">
    <w:pPr>
      <w:pStyle w:val="Header"/>
      <w:rPr>
        <w:rFonts w:ascii="Arial" w:hAnsi="Arial"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96" w:rsidRPr="004636A1" w:rsidRDefault="00276B96">
    <w:pPr>
      <w:pStyle w:val="Header"/>
      <w:rPr>
        <w:rFonts w:ascii="Arial" w:hAnsi="Arial" w:cs="Arial"/>
      </w:rPr>
    </w:pPr>
    <w:r w:rsidRPr="004636A1">
      <w:rPr>
        <w:rFonts w:ascii="Arial" w:hAnsi="Arial" w:cs="Arial"/>
      </w:rPr>
      <w:t xml:space="preserve">Lancashire </w:t>
    </w:r>
    <w:r>
      <w:rPr>
        <w:rFonts w:ascii="Arial" w:hAnsi="Arial" w:cs="Arial"/>
      </w:rPr>
      <w:t>County Council Internal Au</w:t>
    </w:r>
    <w:r w:rsidRPr="004636A1">
      <w:rPr>
        <w:rFonts w:ascii="Arial" w:hAnsi="Arial" w:cs="Arial"/>
      </w:rPr>
      <w:t>dit Service</w:t>
    </w:r>
  </w:p>
  <w:p w:rsidR="00276B96" w:rsidRPr="004636A1" w:rsidRDefault="00276B96">
    <w:pPr>
      <w:pStyle w:val="Header"/>
      <w:rPr>
        <w:rFonts w:ascii="Arial" w:hAnsi="Arial" w:cs="Arial"/>
      </w:rPr>
    </w:pPr>
    <w:r w:rsidRPr="004636A1">
      <w:rPr>
        <w:rFonts w:ascii="Arial" w:hAnsi="Arial" w:cs="Arial"/>
      </w:rPr>
      <w:t xml:space="preserve">Annual report </w:t>
    </w:r>
    <w:r>
      <w:rPr>
        <w:rFonts w:ascii="Arial" w:hAnsi="Arial" w:cs="Arial"/>
      </w:rPr>
      <w:t>for the year ended 31 March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01A5"/>
    <w:multiLevelType w:val="multilevel"/>
    <w:tmpl w:val="7E32A53A"/>
    <w:lvl w:ilvl="0">
      <w:start w:val="1"/>
      <w:numFmt w:val="decimal"/>
      <w:lvlText w:val="%1"/>
      <w:lvlJc w:val="left"/>
      <w:pPr>
        <w:tabs>
          <w:tab w:val="num" w:pos="851"/>
        </w:tabs>
        <w:ind w:left="851" w:hanging="851"/>
      </w:pPr>
      <w:rPr>
        <w:rFonts w:cs="Times New Roman" w:hint="default"/>
        <w:b/>
        <w:i w:val="0"/>
        <w:sz w:val="28"/>
        <w:szCs w:val="28"/>
      </w:rPr>
    </w:lvl>
    <w:lvl w:ilvl="1">
      <w:start w:val="1"/>
      <w:numFmt w:val="decimal"/>
      <w:lvlText w:val="%1.%2"/>
      <w:lvlJc w:val="left"/>
      <w:pPr>
        <w:tabs>
          <w:tab w:val="num" w:pos="851"/>
        </w:tabs>
        <w:ind w:left="851" w:hanging="851"/>
      </w:pPr>
      <w:rPr>
        <w:rFonts w:ascii="Arial" w:hAnsi="Arial" w:cs="Arial" w:hint="default"/>
        <w:sz w:val="24"/>
        <w:szCs w:val="24"/>
      </w:rPr>
    </w:lvl>
    <w:lvl w:ilvl="2">
      <w:start w:val="1"/>
      <w:numFmt w:val="decimal"/>
      <w:lvlText w:val="%1.%2.%3"/>
      <w:lvlJc w:val="left"/>
      <w:pPr>
        <w:tabs>
          <w:tab w:val="num" w:pos="851"/>
        </w:tabs>
        <w:ind w:left="851" w:hanging="851"/>
      </w:pPr>
      <w:rPr>
        <w:rFonts w:cs="Times New Roman" w:hint="default"/>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
    <w:nsid w:val="094C6CB1"/>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BB30434"/>
    <w:multiLevelType w:val="hybridMultilevel"/>
    <w:tmpl w:val="BB961FE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
    <w:nsid w:val="0E62740A"/>
    <w:multiLevelType w:val="hybridMultilevel"/>
    <w:tmpl w:val="CBA6178A"/>
    <w:lvl w:ilvl="0" w:tplc="982C47F2">
      <w:start w:val="1"/>
      <w:numFmt w:val="bullet"/>
      <w:lvlText w:val=""/>
      <w:lvlJc w:val="left"/>
      <w:pPr>
        <w:tabs>
          <w:tab w:val="num" w:pos="851"/>
        </w:tabs>
        <w:ind w:left="851"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12086821"/>
    <w:multiLevelType w:val="hybridMultilevel"/>
    <w:tmpl w:val="267821C2"/>
    <w:lvl w:ilvl="0" w:tplc="0809000F">
      <w:start w:val="1"/>
      <w:numFmt w:val="decimal"/>
      <w:lvlText w:val="%1."/>
      <w:lvlJc w:val="left"/>
      <w:pPr>
        <w:tabs>
          <w:tab w:val="num" w:pos="2190"/>
        </w:tabs>
        <w:ind w:left="2190" w:hanging="360"/>
      </w:pPr>
      <w:rPr>
        <w:rFonts w:cs="Times New Roman"/>
      </w:rPr>
    </w:lvl>
    <w:lvl w:ilvl="1" w:tplc="08090019">
      <w:start w:val="1"/>
      <w:numFmt w:val="decimal"/>
      <w:lvlText w:val="%2."/>
      <w:lvlJc w:val="left"/>
      <w:pPr>
        <w:tabs>
          <w:tab w:val="num" w:pos="2370"/>
        </w:tabs>
        <w:ind w:left="2370" w:hanging="360"/>
      </w:pPr>
      <w:rPr>
        <w:rFonts w:cs="Times New Roman"/>
      </w:rPr>
    </w:lvl>
    <w:lvl w:ilvl="2" w:tplc="0809001B">
      <w:start w:val="1"/>
      <w:numFmt w:val="decimal"/>
      <w:lvlText w:val="%3."/>
      <w:lvlJc w:val="left"/>
      <w:pPr>
        <w:tabs>
          <w:tab w:val="num" w:pos="3090"/>
        </w:tabs>
        <w:ind w:left="3090" w:hanging="360"/>
      </w:pPr>
      <w:rPr>
        <w:rFonts w:cs="Times New Roman"/>
      </w:rPr>
    </w:lvl>
    <w:lvl w:ilvl="3" w:tplc="0809000F">
      <w:start w:val="1"/>
      <w:numFmt w:val="decimal"/>
      <w:lvlText w:val="%4."/>
      <w:lvlJc w:val="left"/>
      <w:pPr>
        <w:tabs>
          <w:tab w:val="num" w:pos="3810"/>
        </w:tabs>
        <w:ind w:left="3810" w:hanging="360"/>
      </w:pPr>
      <w:rPr>
        <w:rFonts w:cs="Times New Roman"/>
      </w:rPr>
    </w:lvl>
    <w:lvl w:ilvl="4" w:tplc="08090019">
      <w:start w:val="1"/>
      <w:numFmt w:val="decimal"/>
      <w:lvlText w:val="%5."/>
      <w:lvlJc w:val="left"/>
      <w:pPr>
        <w:tabs>
          <w:tab w:val="num" w:pos="4530"/>
        </w:tabs>
        <w:ind w:left="4530" w:hanging="360"/>
      </w:pPr>
      <w:rPr>
        <w:rFonts w:cs="Times New Roman"/>
      </w:rPr>
    </w:lvl>
    <w:lvl w:ilvl="5" w:tplc="0809001B">
      <w:start w:val="1"/>
      <w:numFmt w:val="decimal"/>
      <w:lvlText w:val="%6."/>
      <w:lvlJc w:val="left"/>
      <w:pPr>
        <w:tabs>
          <w:tab w:val="num" w:pos="5250"/>
        </w:tabs>
        <w:ind w:left="5250" w:hanging="360"/>
      </w:pPr>
      <w:rPr>
        <w:rFonts w:cs="Times New Roman"/>
      </w:rPr>
    </w:lvl>
    <w:lvl w:ilvl="6" w:tplc="0809000F">
      <w:start w:val="1"/>
      <w:numFmt w:val="decimal"/>
      <w:lvlText w:val="%7."/>
      <w:lvlJc w:val="left"/>
      <w:pPr>
        <w:tabs>
          <w:tab w:val="num" w:pos="5970"/>
        </w:tabs>
        <w:ind w:left="5970" w:hanging="360"/>
      </w:pPr>
      <w:rPr>
        <w:rFonts w:cs="Times New Roman"/>
      </w:rPr>
    </w:lvl>
    <w:lvl w:ilvl="7" w:tplc="08090019">
      <w:start w:val="1"/>
      <w:numFmt w:val="decimal"/>
      <w:lvlText w:val="%8."/>
      <w:lvlJc w:val="left"/>
      <w:pPr>
        <w:tabs>
          <w:tab w:val="num" w:pos="6690"/>
        </w:tabs>
        <w:ind w:left="6690" w:hanging="360"/>
      </w:pPr>
      <w:rPr>
        <w:rFonts w:cs="Times New Roman"/>
      </w:rPr>
    </w:lvl>
    <w:lvl w:ilvl="8" w:tplc="0809001B">
      <w:start w:val="1"/>
      <w:numFmt w:val="decimal"/>
      <w:lvlText w:val="%9."/>
      <w:lvlJc w:val="left"/>
      <w:pPr>
        <w:tabs>
          <w:tab w:val="num" w:pos="7410"/>
        </w:tabs>
        <w:ind w:left="7410" w:hanging="360"/>
      </w:pPr>
      <w:rPr>
        <w:rFonts w:cs="Times New Roman"/>
      </w:rPr>
    </w:lvl>
  </w:abstractNum>
  <w:abstractNum w:abstractNumId="5">
    <w:nsid w:val="144122FE"/>
    <w:multiLevelType w:val="hybridMultilevel"/>
    <w:tmpl w:val="50C2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F4029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5F92A5F"/>
    <w:multiLevelType w:val="hybridMultilevel"/>
    <w:tmpl w:val="50844518"/>
    <w:lvl w:ilvl="0" w:tplc="D90E8442">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nsid w:val="16D04F5B"/>
    <w:multiLevelType w:val="multilevel"/>
    <w:tmpl w:val="572455D2"/>
    <w:lvl w:ilvl="0">
      <w:start w:val="1"/>
      <w:numFmt w:val="decimal"/>
      <w:lvlText w:val="%1"/>
      <w:lvlJc w:val="left"/>
      <w:pPr>
        <w:tabs>
          <w:tab w:val="num" w:pos="851"/>
        </w:tabs>
        <w:ind w:left="851" w:hanging="851"/>
      </w:pPr>
      <w:rPr>
        <w:rFonts w:cs="Times New Roman" w:hint="default"/>
        <w:b/>
        <w:i w:val="0"/>
        <w:sz w:val="28"/>
        <w:szCs w:val="28"/>
      </w:rPr>
    </w:lvl>
    <w:lvl w:ilvl="1">
      <w:start w:val="1"/>
      <w:numFmt w:val="decimal"/>
      <w:lvlText w:val="%1.%2"/>
      <w:lvlJc w:val="left"/>
      <w:pPr>
        <w:tabs>
          <w:tab w:val="num" w:pos="851"/>
        </w:tabs>
        <w:ind w:left="851" w:hanging="851"/>
      </w:pPr>
      <w:rPr>
        <w:rFonts w:ascii="Arial" w:hAnsi="Arial" w:cs="Arial" w:hint="default"/>
        <w:sz w:val="24"/>
        <w:szCs w:val="24"/>
      </w:rPr>
    </w:lvl>
    <w:lvl w:ilvl="2">
      <w:start w:val="1"/>
      <w:numFmt w:val="decimal"/>
      <w:lvlText w:val="%1.%2.%3"/>
      <w:lvlJc w:val="left"/>
      <w:pPr>
        <w:tabs>
          <w:tab w:val="num" w:pos="851"/>
        </w:tabs>
        <w:ind w:left="851" w:hanging="851"/>
      </w:pPr>
      <w:rPr>
        <w:rFonts w:cs="Times New Roman" w:hint="default"/>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9">
    <w:nsid w:val="1C8D7420"/>
    <w:multiLevelType w:val="multilevel"/>
    <w:tmpl w:val="50FEA4AE"/>
    <w:lvl w:ilvl="0">
      <w:start w:val="1"/>
      <w:numFmt w:val="decimal"/>
      <w:lvlText w:val="%1"/>
      <w:lvlJc w:val="left"/>
      <w:pPr>
        <w:tabs>
          <w:tab w:val="num" w:pos="851"/>
        </w:tabs>
        <w:ind w:left="851" w:hanging="851"/>
      </w:pPr>
      <w:rPr>
        <w:rFonts w:cs="Times New Roman" w:hint="default"/>
        <w:b/>
        <w:i w:val="0"/>
        <w:sz w:val="28"/>
        <w:szCs w:val="28"/>
      </w:rPr>
    </w:lvl>
    <w:lvl w:ilvl="1">
      <w:start w:val="1"/>
      <w:numFmt w:val="decimal"/>
      <w:lvlText w:val="%1.%2"/>
      <w:lvlJc w:val="left"/>
      <w:pPr>
        <w:tabs>
          <w:tab w:val="num" w:pos="851"/>
        </w:tabs>
        <w:ind w:left="851" w:hanging="851"/>
      </w:pPr>
      <w:rPr>
        <w:rFonts w:ascii="Arial" w:hAnsi="Arial" w:cs="Arial" w:hint="default"/>
        <w:sz w:val="24"/>
        <w:szCs w:val="24"/>
      </w:rPr>
    </w:lvl>
    <w:lvl w:ilvl="2">
      <w:start w:val="1"/>
      <w:numFmt w:val="decimal"/>
      <w:lvlText w:val="%1.%2.%3"/>
      <w:lvlJc w:val="left"/>
      <w:pPr>
        <w:tabs>
          <w:tab w:val="num" w:pos="851"/>
        </w:tabs>
        <w:ind w:left="851" w:hanging="851"/>
      </w:pPr>
      <w:rPr>
        <w:rFonts w:cs="Times New Roman" w:hint="default"/>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0">
    <w:nsid w:val="1E2C2D36"/>
    <w:multiLevelType w:val="hybridMultilevel"/>
    <w:tmpl w:val="7C5C545C"/>
    <w:lvl w:ilvl="0" w:tplc="0D2467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495253F"/>
    <w:multiLevelType w:val="hybridMultilevel"/>
    <w:tmpl w:val="3D16CD48"/>
    <w:lvl w:ilvl="0" w:tplc="2892BFA4">
      <w:start w:val="1"/>
      <w:numFmt w:val="bullet"/>
      <w:lvlText w:val=""/>
      <w:lvlJc w:val="left"/>
      <w:pPr>
        <w:tabs>
          <w:tab w:val="num" w:pos="1211"/>
        </w:tabs>
        <w:ind w:left="1211" w:hanging="360"/>
      </w:pPr>
      <w:rPr>
        <w:rFonts w:ascii="Symbol" w:hAnsi="Symbol" w:hint="default"/>
        <w:b w:val="0"/>
        <w:i w:val="0"/>
        <w:sz w:val="20"/>
      </w:rPr>
    </w:lvl>
    <w:lvl w:ilvl="1" w:tplc="04090003">
      <w:start w:val="1"/>
      <w:numFmt w:val="bullet"/>
      <w:lvlText w:val="o"/>
      <w:lvlJc w:val="left"/>
      <w:pPr>
        <w:tabs>
          <w:tab w:val="num" w:pos="1080"/>
        </w:tabs>
        <w:ind w:left="1080" w:hanging="360"/>
      </w:pPr>
      <w:rPr>
        <w:rFonts w:ascii="Courier New" w:hAnsi="Courier New" w:hint="default"/>
      </w:rPr>
    </w:lvl>
    <w:lvl w:ilvl="2" w:tplc="FFE8EA2E">
      <w:start w:val="1"/>
      <w:numFmt w:val="bullet"/>
      <w:lvlText w:val=""/>
      <w:lvlJc w:val="left"/>
      <w:pPr>
        <w:tabs>
          <w:tab w:val="num" w:pos="1724"/>
        </w:tabs>
        <w:ind w:left="2007" w:hanging="567"/>
      </w:pPr>
      <w:rPr>
        <w:rFonts w:ascii="Symbol" w:hAnsi="Symbol" w:hint="default"/>
        <w:b w:val="0"/>
        <w:i w:val="0"/>
        <w:sz w:val="2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7DC54DD"/>
    <w:multiLevelType w:val="hybridMultilevel"/>
    <w:tmpl w:val="BF6AF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8E33B0C"/>
    <w:multiLevelType w:val="hybridMultilevel"/>
    <w:tmpl w:val="B1F48A16"/>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2520"/>
        </w:tabs>
        <w:ind w:left="2520" w:hanging="360"/>
      </w:pPr>
    </w:lvl>
    <w:lvl w:ilvl="2" w:tplc="08090005">
      <w:start w:val="1"/>
      <w:numFmt w:val="decimal"/>
      <w:lvlText w:val="%3."/>
      <w:lvlJc w:val="left"/>
      <w:pPr>
        <w:tabs>
          <w:tab w:val="num" w:pos="3240"/>
        </w:tabs>
        <w:ind w:left="3240" w:hanging="360"/>
      </w:pPr>
    </w:lvl>
    <w:lvl w:ilvl="3" w:tplc="08090001">
      <w:start w:val="1"/>
      <w:numFmt w:val="decimal"/>
      <w:lvlText w:val="%4."/>
      <w:lvlJc w:val="left"/>
      <w:pPr>
        <w:tabs>
          <w:tab w:val="num" w:pos="3960"/>
        </w:tabs>
        <w:ind w:left="3960" w:hanging="360"/>
      </w:pPr>
    </w:lvl>
    <w:lvl w:ilvl="4" w:tplc="08090003">
      <w:start w:val="1"/>
      <w:numFmt w:val="decimal"/>
      <w:lvlText w:val="%5."/>
      <w:lvlJc w:val="left"/>
      <w:pPr>
        <w:tabs>
          <w:tab w:val="num" w:pos="4680"/>
        </w:tabs>
        <w:ind w:left="4680" w:hanging="360"/>
      </w:pPr>
    </w:lvl>
    <w:lvl w:ilvl="5" w:tplc="08090005">
      <w:start w:val="1"/>
      <w:numFmt w:val="decimal"/>
      <w:lvlText w:val="%6."/>
      <w:lvlJc w:val="left"/>
      <w:pPr>
        <w:tabs>
          <w:tab w:val="num" w:pos="5400"/>
        </w:tabs>
        <w:ind w:left="5400" w:hanging="360"/>
      </w:pPr>
    </w:lvl>
    <w:lvl w:ilvl="6" w:tplc="08090001">
      <w:start w:val="1"/>
      <w:numFmt w:val="decimal"/>
      <w:lvlText w:val="%7."/>
      <w:lvlJc w:val="left"/>
      <w:pPr>
        <w:tabs>
          <w:tab w:val="num" w:pos="6120"/>
        </w:tabs>
        <w:ind w:left="6120" w:hanging="360"/>
      </w:pPr>
    </w:lvl>
    <w:lvl w:ilvl="7" w:tplc="08090003">
      <w:start w:val="1"/>
      <w:numFmt w:val="decimal"/>
      <w:lvlText w:val="%8."/>
      <w:lvlJc w:val="left"/>
      <w:pPr>
        <w:tabs>
          <w:tab w:val="num" w:pos="6840"/>
        </w:tabs>
        <w:ind w:left="6840" w:hanging="360"/>
      </w:pPr>
    </w:lvl>
    <w:lvl w:ilvl="8" w:tplc="08090005">
      <w:start w:val="1"/>
      <w:numFmt w:val="decimal"/>
      <w:lvlText w:val="%9."/>
      <w:lvlJc w:val="left"/>
      <w:pPr>
        <w:tabs>
          <w:tab w:val="num" w:pos="7560"/>
        </w:tabs>
        <w:ind w:left="7560" w:hanging="360"/>
      </w:pPr>
    </w:lvl>
  </w:abstractNum>
  <w:abstractNum w:abstractNumId="14">
    <w:nsid w:val="305A2939"/>
    <w:multiLevelType w:val="hybridMultilevel"/>
    <w:tmpl w:val="3ED28CE6"/>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5">
    <w:nsid w:val="31293341"/>
    <w:multiLevelType w:val="multilevel"/>
    <w:tmpl w:val="DFB8335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348B7EC0"/>
    <w:multiLevelType w:val="hybridMultilevel"/>
    <w:tmpl w:val="E3720DFE"/>
    <w:lvl w:ilvl="0" w:tplc="2892BFA4">
      <w:start w:val="1"/>
      <w:numFmt w:val="bullet"/>
      <w:lvlText w:val=""/>
      <w:lvlJc w:val="left"/>
      <w:pPr>
        <w:tabs>
          <w:tab w:val="num" w:pos="1211"/>
        </w:tabs>
        <w:ind w:left="1211" w:hanging="360"/>
      </w:pPr>
      <w:rPr>
        <w:rFonts w:ascii="Symbol" w:hAnsi="Symbol" w:hint="default"/>
        <w:b w:val="0"/>
        <w:i w:val="0"/>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A947F48"/>
    <w:multiLevelType w:val="multilevel"/>
    <w:tmpl w:val="AC327930"/>
    <w:lvl w:ilvl="0">
      <w:start w:val="1"/>
      <w:numFmt w:val="decimal"/>
      <w:lvlText w:val="%1"/>
      <w:lvlJc w:val="left"/>
      <w:pPr>
        <w:tabs>
          <w:tab w:val="num" w:pos="851"/>
        </w:tabs>
        <w:ind w:left="851" w:hanging="851"/>
      </w:pPr>
      <w:rPr>
        <w:rFonts w:cs="Times New Roman" w:hint="default"/>
        <w:b/>
        <w:i w:val="0"/>
        <w:sz w:val="28"/>
        <w:szCs w:val="28"/>
      </w:rPr>
    </w:lvl>
    <w:lvl w:ilvl="1">
      <w:start w:val="1"/>
      <w:numFmt w:val="decimal"/>
      <w:lvlText w:val="%1.%2"/>
      <w:lvlJc w:val="left"/>
      <w:pPr>
        <w:tabs>
          <w:tab w:val="num" w:pos="851"/>
        </w:tabs>
        <w:ind w:left="851" w:hanging="851"/>
      </w:pPr>
      <w:rPr>
        <w:rFonts w:ascii="Arial" w:hAnsi="Arial" w:cs="Arial" w:hint="default"/>
        <w:b w:val="0"/>
        <w:i w:val="0"/>
        <w:sz w:val="24"/>
        <w:szCs w:val="24"/>
      </w:rPr>
    </w:lvl>
    <w:lvl w:ilvl="2">
      <w:start w:val="1"/>
      <w:numFmt w:val="decimal"/>
      <w:lvlText w:val="%1.%2.%3"/>
      <w:lvlJc w:val="left"/>
      <w:pPr>
        <w:tabs>
          <w:tab w:val="num" w:pos="851"/>
        </w:tabs>
        <w:ind w:left="851" w:hanging="851"/>
      </w:pPr>
      <w:rPr>
        <w:rFonts w:cs="Times New Roman" w:hint="default"/>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8">
    <w:nsid w:val="3D6B6194"/>
    <w:multiLevelType w:val="hybridMultilevel"/>
    <w:tmpl w:val="51D6CE1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45CC74D4"/>
    <w:multiLevelType w:val="hybridMultilevel"/>
    <w:tmpl w:val="44861B2A"/>
    <w:lvl w:ilvl="0" w:tplc="079AE45C">
      <w:start w:val="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502B40F5"/>
    <w:multiLevelType w:val="hybridMultilevel"/>
    <w:tmpl w:val="0CEE419A"/>
    <w:lvl w:ilvl="0" w:tplc="FFE8EA2E">
      <w:start w:val="1"/>
      <w:numFmt w:val="bullet"/>
      <w:lvlText w:val=""/>
      <w:lvlJc w:val="left"/>
      <w:pPr>
        <w:tabs>
          <w:tab w:val="num" w:pos="1072"/>
        </w:tabs>
        <w:ind w:left="1355" w:hanging="567"/>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1">
    <w:nsid w:val="52B23514"/>
    <w:multiLevelType w:val="multilevel"/>
    <w:tmpl w:val="B762B1D6"/>
    <w:lvl w:ilvl="0">
      <w:start w:val="1"/>
      <w:numFmt w:val="decimal"/>
      <w:pStyle w:val="ListParagraph"/>
      <w:lvlText w:val="%1"/>
      <w:lvlJc w:val="left"/>
      <w:pPr>
        <w:ind w:left="360" w:hanging="360"/>
      </w:pPr>
      <w:rPr>
        <w:rFonts w:ascii="Arial" w:hAnsi="Arial" w:cs="Times New Roman" w:hint="default"/>
        <w:b/>
        <w:i w:val="0"/>
        <w:caps w:val="0"/>
        <w:strike w:val="0"/>
        <w:dstrike w:val="0"/>
        <w:outline w:val="0"/>
        <w:shadow w:val="0"/>
        <w:emboss w:val="0"/>
        <w:imprint w:val="0"/>
        <w:vanish w:val="0"/>
        <w:sz w:val="28"/>
        <w:vertAlign w:val="baseline"/>
      </w:rPr>
    </w:lvl>
    <w:lvl w:ilvl="1">
      <w:start w:val="1"/>
      <w:numFmt w:val="decimal"/>
      <w:lvlText w:val="%1.%2"/>
      <w:lvlJc w:val="left"/>
      <w:pPr>
        <w:ind w:left="720" w:hanging="360"/>
      </w:pPr>
      <w:rPr>
        <w:rFonts w:ascii="Arial" w:hAnsi="Arial" w:cs="Times New Roman" w:hint="default"/>
        <w:b w:val="0"/>
        <w:i w:val="0"/>
        <w:caps w:val="0"/>
        <w:strike w:val="0"/>
        <w:dstrike w:val="0"/>
        <w:outline w:val="0"/>
        <w:shadow w:val="0"/>
        <w:emboss w:val="0"/>
        <w:imprint w:val="0"/>
        <w:vanish w:val="0"/>
        <w:sz w:val="24"/>
        <w:vertAlign w:val="base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541626B9"/>
    <w:multiLevelType w:val="multilevel"/>
    <w:tmpl w:val="E424C662"/>
    <w:lvl w:ilvl="0">
      <w:start w:val="1"/>
      <w:numFmt w:val="decimal"/>
      <w:lvlText w:val="%1."/>
      <w:lvlJc w:val="left"/>
      <w:pPr>
        <w:tabs>
          <w:tab w:val="num" w:pos="992"/>
        </w:tabs>
        <w:ind w:left="992" w:hanging="992"/>
      </w:pPr>
      <w:rPr>
        <w:rFonts w:cs="Times New Roman" w:hint="default"/>
        <w:sz w:val="28"/>
      </w:rPr>
    </w:lvl>
    <w:lvl w:ilvl="1">
      <w:start w:val="1"/>
      <w:numFmt w:val="decimal"/>
      <w:lvlText w:val="%1.%2."/>
      <w:lvlJc w:val="left"/>
      <w:pPr>
        <w:tabs>
          <w:tab w:val="num" w:pos="992"/>
        </w:tabs>
        <w:ind w:left="992" w:hanging="992"/>
      </w:pPr>
      <w:rPr>
        <w:rFonts w:cs="Times New Roman" w:hint="default"/>
        <w:b w:val="0"/>
        <w:i w:val="0"/>
      </w:rPr>
    </w:lvl>
    <w:lvl w:ilvl="2">
      <w:start w:val="1"/>
      <w:numFmt w:val="decimal"/>
      <w:lvlText w:val="%1.%2.%3."/>
      <w:lvlJc w:val="left"/>
      <w:pPr>
        <w:tabs>
          <w:tab w:val="num" w:pos="0"/>
        </w:tabs>
      </w:pPr>
      <w:rPr>
        <w:rFonts w:cs="Times New Roman" w:hint="default"/>
      </w:rPr>
    </w:lvl>
    <w:lvl w:ilvl="3">
      <w:start w:val="1"/>
      <w:numFmt w:val="lowerRoman"/>
      <w:lvlText w:val="(%4)"/>
      <w:lvlJc w:val="left"/>
      <w:pPr>
        <w:tabs>
          <w:tab w:val="num" w:pos="0"/>
        </w:tabs>
      </w:pPr>
      <w:rPr>
        <w:rFonts w:cs="Times New Roman"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23">
    <w:nsid w:val="5BAA617F"/>
    <w:multiLevelType w:val="multilevel"/>
    <w:tmpl w:val="A148F134"/>
    <w:lvl w:ilvl="0">
      <w:start w:val="1"/>
      <w:numFmt w:val="decimal"/>
      <w:lvlText w:val="%1."/>
      <w:lvlJc w:val="left"/>
      <w:pPr>
        <w:tabs>
          <w:tab w:val="num" w:pos="1080"/>
        </w:tabs>
        <w:ind w:left="1080" w:hanging="1080"/>
      </w:pPr>
      <w:rPr>
        <w:rFonts w:ascii="Arial Bold" w:hAnsi="Arial Bold" w:cs="Times New Roman" w:hint="default"/>
        <w:b/>
        <w:i w:val="0"/>
        <w:sz w:val="28"/>
        <w:u w:val="none"/>
      </w:rPr>
    </w:lvl>
    <w:lvl w:ilvl="1">
      <w:start w:val="1"/>
      <w:numFmt w:val="decimal"/>
      <w:isLgl/>
      <w:lvlText w:val="%1.%2"/>
      <w:lvlJc w:val="left"/>
      <w:pPr>
        <w:tabs>
          <w:tab w:val="num" w:pos="1080"/>
        </w:tabs>
        <w:ind w:left="1080" w:hanging="1080"/>
      </w:pPr>
      <w:rPr>
        <w:rFonts w:ascii="Arial" w:hAnsi="Arial" w:cs="Times New Roman" w:hint="default"/>
        <w:b w:val="0"/>
        <w:i w:val="0"/>
        <w:sz w:val="24"/>
        <w:u w:val="none"/>
      </w:rPr>
    </w:lvl>
    <w:lvl w:ilvl="2">
      <w:start w:val="1"/>
      <w:numFmt w:val="decimal"/>
      <w:isLgl/>
      <w:lvlText w:val="%1.%2.%3"/>
      <w:lvlJc w:val="left"/>
      <w:pPr>
        <w:tabs>
          <w:tab w:val="num" w:pos="1800"/>
        </w:tabs>
        <w:ind w:left="1800" w:hanging="1080"/>
      </w:pPr>
      <w:rPr>
        <w:rFonts w:cs="Times New Roman"/>
        <w:b w:val="0"/>
        <w:i w:val="0"/>
        <w:u w:val="none"/>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nsid w:val="5F8364DD"/>
    <w:multiLevelType w:val="multilevel"/>
    <w:tmpl w:val="7E32A53A"/>
    <w:lvl w:ilvl="0">
      <w:start w:val="1"/>
      <w:numFmt w:val="decimal"/>
      <w:lvlText w:val="%1"/>
      <w:lvlJc w:val="left"/>
      <w:pPr>
        <w:tabs>
          <w:tab w:val="num" w:pos="851"/>
        </w:tabs>
        <w:ind w:left="851" w:hanging="851"/>
      </w:pPr>
      <w:rPr>
        <w:rFonts w:cs="Times New Roman" w:hint="default"/>
        <w:b/>
        <w:i w:val="0"/>
        <w:sz w:val="28"/>
        <w:szCs w:val="28"/>
      </w:rPr>
    </w:lvl>
    <w:lvl w:ilvl="1">
      <w:start w:val="1"/>
      <w:numFmt w:val="decimal"/>
      <w:lvlText w:val="%1.%2"/>
      <w:lvlJc w:val="left"/>
      <w:pPr>
        <w:tabs>
          <w:tab w:val="num" w:pos="851"/>
        </w:tabs>
        <w:ind w:left="851" w:hanging="851"/>
      </w:pPr>
      <w:rPr>
        <w:rFonts w:ascii="Arial" w:hAnsi="Arial" w:cs="Arial" w:hint="default"/>
        <w:sz w:val="24"/>
        <w:szCs w:val="24"/>
      </w:rPr>
    </w:lvl>
    <w:lvl w:ilvl="2">
      <w:start w:val="1"/>
      <w:numFmt w:val="decimal"/>
      <w:lvlText w:val="%1.%2.%3"/>
      <w:lvlJc w:val="left"/>
      <w:pPr>
        <w:tabs>
          <w:tab w:val="num" w:pos="851"/>
        </w:tabs>
        <w:ind w:left="851" w:hanging="851"/>
      </w:pPr>
      <w:rPr>
        <w:rFonts w:cs="Times New Roman" w:hint="default"/>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25">
    <w:nsid w:val="5FEB023C"/>
    <w:multiLevelType w:val="multilevel"/>
    <w:tmpl w:val="7E32A53A"/>
    <w:lvl w:ilvl="0">
      <w:start w:val="1"/>
      <w:numFmt w:val="decimal"/>
      <w:lvlText w:val="%1"/>
      <w:lvlJc w:val="left"/>
      <w:pPr>
        <w:tabs>
          <w:tab w:val="num" w:pos="851"/>
        </w:tabs>
        <w:ind w:left="851" w:hanging="851"/>
      </w:pPr>
      <w:rPr>
        <w:rFonts w:cs="Times New Roman" w:hint="default"/>
        <w:b/>
        <w:i w:val="0"/>
        <w:sz w:val="28"/>
        <w:szCs w:val="28"/>
      </w:rPr>
    </w:lvl>
    <w:lvl w:ilvl="1">
      <w:start w:val="1"/>
      <w:numFmt w:val="decimal"/>
      <w:lvlText w:val="%1.%2"/>
      <w:lvlJc w:val="left"/>
      <w:pPr>
        <w:tabs>
          <w:tab w:val="num" w:pos="851"/>
        </w:tabs>
        <w:ind w:left="851" w:hanging="851"/>
      </w:pPr>
      <w:rPr>
        <w:rFonts w:ascii="Arial" w:hAnsi="Arial" w:cs="Arial" w:hint="default"/>
        <w:sz w:val="24"/>
        <w:szCs w:val="24"/>
      </w:rPr>
    </w:lvl>
    <w:lvl w:ilvl="2">
      <w:start w:val="1"/>
      <w:numFmt w:val="decimal"/>
      <w:lvlText w:val="%1.%2.%3"/>
      <w:lvlJc w:val="left"/>
      <w:pPr>
        <w:tabs>
          <w:tab w:val="num" w:pos="851"/>
        </w:tabs>
        <w:ind w:left="851" w:hanging="851"/>
      </w:pPr>
      <w:rPr>
        <w:rFonts w:cs="Times New Roman" w:hint="default"/>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26">
    <w:nsid w:val="624F4311"/>
    <w:multiLevelType w:val="hybridMultilevel"/>
    <w:tmpl w:val="06A670FC"/>
    <w:lvl w:ilvl="0" w:tplc="0409000F">
      <w:start w:val="1"/>
      <w:numFmt w:val="decimal"/>
      <w:lvlText w:val="%1."/>
      <w:lvlJc w:val="left"/>
      <w:pPr>
        <w:tabs>
          <w:tab w:val="num" w:pos="360"/>
        </w:tabs>
        <w:ind w:left="360" w:hanging="360"/>
      </w:pPr>
      <w:rPr>
        <w:rFonts w:cs="Times New Roman"/>
      </w:rPr>
    </w:lvl>
    <w:lvl w:ilvl="1" w:tplc="B16853CC">
      <w:start w:val="5"/>
      <w:numFmt w:val="decimal"/>
      <w:lvlText w:val="%2"/>
      <w:lvlJc w:val="left"/>
      <w:pPr>
        <w:tabs>
          <w:tab w:val="num" w:pos="1080"/>
        </w:tabs>
        <w:ind w:left="1080" w:hanging="360"/>
      </w:pPr>
      <w:rPr>
        <w:rFonts w:cs="Times New Roman" w:hint="default"/>
      </w:rPr>
    </w:lvl>
    <w:lvl w:ilvl="2" w:tplc="0A70B65C">
      <w:start w:val="12"/>
      <w:numFmt w:val="bullet"/>
      <w:lvlText w:val="-"/>
      <w:lvlJc w:val="left"/>
      <w:pPr>
        <w:tabs>
          <w:tab w:val="num" w:pos="1980"/>
        </w:tabs>
        <w:ind w:left="1980" w:hanging="360"/>
      </w:pPr>
      <w:rPr>
        <w:rFonts w:ascii="Arial" w:eastAsia="Times New Roman" w:hAnsi="Aria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5DB5ADF"/>
    <w:multiLevelType w:val="hybridMultilevel"/>
    <w:tmpl w:val="B9663508"/>
    <w:lvl w:ilvl="0" w:tplc="E40AF530">
      <w:start w:val="1"/>
      <w:numFmt w:val="bullet"/>
      <w:lvlText w:val=""/>
      <w:lvlJc w:val="left"/>
      <w:pPr>
        <w:tabs>
          <w:tab w:val="num" w:pos="851"/>
        </w:tabs>
        <w:ind w:left="851"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9C44898"/>
    <w:multiLevelType w:val="hybridMultilevel"/>
    <w:tmpl w:val="7E32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D11DB2"/>
    <w:multiLevelType w:val="hybridMultilevel"/>
    <w:tmpl w:val="4836C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D6E6F25"/>
    <w:multiLevelType w:val="multilevel"/>
    <w:tmpl w:val="E3720DFE"/>
    <w:lvl w:ilvl="0">
      <w:start w:val="1"/>
      <w:numFmt w:val="bullet"/>
      <w:lvlText w:val=""/>
      <w:lvlJc w:val="left"/>
      <w:pPr>
        <w:tabs>
          <w:tab w:val="num" w:pos="1211"/>
        </w:tabs>
        <w:ind w:left="1211" w:hanging="360"/>
      </w:pPr>
      <w:rPr>
        <w:rFonts w:ascii="Symbol" w:hAnsi="Symbol" w:hint="default"/>
        <w:b w:val="0"/>
        <w:i w:val="0"/>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71D122D2"/>
    <w:multiLevelType w:val="multilevel"/>
    <w:tmpl w:val="A148F134"/>
    <w:lvl w:ilvl="0">
      <w:start w:val="1"/>
      <w:numFmt w:val="decimal"/>
      <w:lvlText w:val="%1."/>
      <w:lvlJc w:val="left"/>
      <w:pPr>
        <w:tabs>
          <w:tab w:val="num" w:pos="1080"/>
        </w:tabs>
        <w:ind w:left="1080" w:hanging="1080"/>
      </w:pPr>
      <w:rPr>
        <w:rFonts w:ascii="Arial Bold" w:hAnsi="Arial Bold" w:cs="Times New Roman" w:hint="default"/>
        <w:b/>
        <w:i w:val="0"/>
        <w:sz w:val="28"/>
        <w:u w:val="none"/>
      </w:rPr>
    </w:lvl>
    <w:lvl w:ilvl="1">
      <w:start w:val="1"/>
      <w:numFmt w:val="decimal"/>
      <w:isLgl/>
      <w:lvlText w:val="%1.%2"/>
      <w:lvlJc w:val="left"/>
      <w:pPr>
        <w:tabs>
          <w:tab w:val="num" w:pos="1080"/>
        </w:tabs>
        <w:ind w:left="1080" w:hanging="1080"/>
      </w:pPr>
      <w:rPr>
        <w:rFonts w:ascii="Arial" w:hAnsi="Arial" w:cs="Times New Roman" w:hint="default"/>
        <w:b w:val="0"/>
        <w:i w:val="0"/>
        <w:sz w:val="24"/>
        <w:u w:val="none"/>
      </w:rPr>
    </w:lvl>
    <w:lvl w:ilvl="2">
      <w:start w:val="1"/>
      <w:numFmt w:val="decimal"/>
      <w:isLgl/>
      <w:lvlText w:val="%1.%2.%3"/>
      <w:lvlJc w:val="left"/>
      <w:pPr>
        <w:tabs>
          <w:tab w:val="num" w:pos="1800"/>
        </w:tabs>
        <w:ind w:left="1800" w:hanging="1080"/>
      </w:pPr>
      <w:rPr>
        <w:rFonts w:cs="Times New Roman"/>
        <w:b w:val="0"/>
        <w:i w:val="0"/>
        <w:u w:val="none"/>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nsid w:val="7E98617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32"/>
  </w:num>
  <w:num w:numId="3">
    <w:abstractNumId w:val="20"/>
  </w:num>
  <w:num w:numId="4">
    <w:abstractNumId w:val="16"/>
  </w:num>
  <w:num w:numId="5">
    <w:abstractNumId w:val="8"/>
  </w:num>
  <w:num w:numId="6">
    <w:abstractNumId w:val="9"/>
  </w:num>
  <w:num w:numId="7">
    <w:abstractNumId w:val="25"/>
  </w:num>
  <w:num w:numId="8">
    <w:abstractNumId w:val="30"/>
  </w:num>
  <w:num w:numId="9">
    <w:abstractNumId w:val="11"/>
  </w:num>
  <w:num w:numId="10">
    <w:abstractNumId w:val="10"/>
  </w:num>
  <w:num w:numId="11">
    <w:abstractNumId w:val="7"/>
  </w:num>
  <w:num w:numId="12">
    <w:abstractNumId w:val="29"/>
  </w:num>
  <w:num w:numId="13">
    <w:abstractNumId w:val="18"/>
  </w:num>
  <w:num w:numId="14">
    <w:abstractNumId w:val="26"/>
  </w:num>
  <w:num w:numId="15">
    <w:abstractNumId w:val="27"/>
  </w:num>
  <w:num w:numId="16">
    <w:abstractNumId w:val="1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num>
  <w:num w:numId="20">
    <w:abstractNumId w:val="0"/>
  </w:num>
  <w:num w:numId="21">
    <w:abstractNumId w:val="24"/>
  </w:num>
  <w:num w:numId="22">
    <w:abstractNumId w:val="23"/>
  </w:num>
  <w:num w:numId="23">
    <w:abstractNumId w:val="22"/>
  </w:num>
  <w:num w:numId="24">
    <w:abstractNumId w:val="15"/>
  </w:num>
  <w:num w:numId="25">
    <w:abstractNumId w:val="31"/>
  </w:num>
  <w:num w:numId="26">
    <w:abstractNumId w:val="6"/>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5"/>
  </w:num>
  <w:num w:numId="3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
  </w:num>
  <w:num w:numId="33">
    <w:abstractNumId w:val="19"/>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20"/>
  <w:drawingGridHorizontalSpacing w:val="11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452528"/>
    <w:rsid w:val="00002749"/>
    <w:rsid w:val="0000484D"/>
    <w:rsid w:val="000054B4"/>
    <w:rsid w:val="00005D84"/>
    <w:rsid w:val="00005DC3"/>
    <w:rsid w:val="00011F56"/>
    <w:rsid w:val="00015CC6"/>
    <w:rsid w:val="000166B0"/>
    <w:rsid w:val="00016F8E"/>
    <w:rsid w:val="00041211"/>
    <w:rsid w:val="00045C98"/>
    <w:rsid w:val="00047BC1"/>
    <w:rsid w:val="00050EFF"/>
    <w:rsid w:val="00052E61"/>
    <w:rsid w:val="00071906"/>
    <w:rsid w:val="000719AB"/>
    <w:rsid w:val="00072DCB"/>
    <w:rsid w:val="000763B2"/>
    <w:rsid w:val="00077FA3"/>
    <w:rsid w:val="000819D5"/>
    <w:rsid w:val="000A32CC"/>
    <w:rsid w:val="000A40AC"/>
    <w:rsid w:val="000B4BE4"/>
    <w:rsid w:val="000B5BD2"/>
    <w:rsid w:val="000D1BA0"/>
    <w:rsid w:val="000D2FAC"/>
    <w:rsid w:val="000D57DD"/>
    <w:rsid w:val="000D5FD3"/>
    <w:rsid w:val="000E1F16"/>
    <w:rsid w:val="000E328B"/>
    <w:rsid w:val="000E6F7D"/>
    <w:rsid w:val="000E7636"/>
    <w:rsid w:val="000F22CC"/>
    <w:rsid w:val="000F3ABD"/>
    <w:rsid w:val="0011248D"/>
    <w:rsid w:val="00114312"/>
    <w:rsid w:val="00114B7E"/>
    <w:rsid w:val="00124F5B"/>
    <w:rsid w:val="00126D12"/>
    <w:rsid w:val="00144925"/>
    <w:rsid w:val="00150677"/>
    <w:rsid w:val="00151F2D"/>
    <w:rsid w:val="00154CB6"/>
    <w:rsid w:val="0016182A"/>
    <w:rsid w:val="001645DA"/>
    <w:rsid w:val="00165749"/>
    <w:rsid w:val="0016667C"/>
    <w:rsid w:val="001917BF"/>
    <w:rsid w:val="001971A6"/>
    <w:rsid w:val="001A0118"/>
    <w:rsid w:val="001A54B1"/>
    <w:rsid w:val="001A685F"/>
    <w:rsid w:val="001A7BC4"/>
    <w:rsid w:val="001B4C2A"/>
    <w:rsid w:val="001B5267"/>
    <w:rsid w:val="001B62E2"/>
    <w:rsid w:val="001B73BE"/>
    <w:rsid w:val="001C2489"/>
    <w:rsid w:val="001C6742"/>
    <w:rsid w:val="001D0B17"/>
    <w:rsid w:val="001D22ED"/>
    <w:rsid w:val="001D4495"/>
    <w:rsid w:val="001D5C95"/>
    <w:rsid w:val="001D6E46"/>
    <w:rsid w:val="001D7946"/>
    <w:rsid w:val="001E0989"/>
    <w:rsid w:val="001E21D3"/>
    <w:rsid w:val="001E24FE"/>
    <w:rsid w:val="001E3304"/>
    <w:rsid w:val="001E59A6"/>
    <w:rsid w:val="001E708E"/>
    <w:rsid w:val="001F24F8"/>
    <w:rsid w:val="002000D8"/>
    <w:rsid w:val="002009E0"/>
    <w:rsid w:val="00206D63"/>
    <w:rsid w:val="00206D9E"/>
    <w:rsid w:val="002114FB"/>
    <w:rsid w:val="00211500"/>
    <w:rsid w:val="00211AFC"/>
    <w:rsid w:val="00211EB4"/>
    <w:rsid w:val="0022232E"/>
    <w:rsid w:val="002225C1"/>
    <w:rsid w:val="0022319C"/>
    <w:rsid w:val="00224354"/>
    <w:rsid w:val="00224D9F"/>
    <w:rsid w:val="00226B7D"/>
    <w:rsid w:val="002308BA"/>
    <w:rsid w:val="00231298"/>
    <w:rsid w:val="00231AD8"/>
    <w:rsid w:val="0023627F"/>
    <w:rsid w:val="00241757"/>
    <w:rsid w:val="00243249"/>
    <w:rsid w:val="002604F6"/>
    <w:rsid w:val="002642A0"/>
    <w:rsid w:val="002649B4"/>
    <w:rsid w:val="00264E25"/>
    <w:rsid w:val="00265450"/>
    <w:rsid w:val="00276B96"/>
    <w:rsid w:val="00282D28"/>
    <w:rsid w:val="00284D70"/>
    <w:rsid w:val="002A0475"/>
    <w:rsid w:val="002A1FBF"/>
    <w:rsid w:val="002A56E8"/>
    <w:rsid w:val="002A75C9"/>
    <w:rsid w:val="002C2222"/>
    <w:rsid w:val="002C300B"/>
    <w:rsid w:val="002C7E3F"/>
    <w:rsid w:val="002D3379"/>
    <w:rsid w:val="002D3DA2"/>
    <w:rsid w:val="002D73EB"/>
    <w:rsid w:val="002D7892"/>
    <w:rsid w:val="002E257E"/>
    <w:rsid w:val="002E69DB"/>
    <w:rsid w:val="002F32C5"/>
    <w:rsid w:val="002F38B7"/>
    <w:rsid w:val="002F3DF0"/>
    <w:rsid w:val="0031090F"/>
    <w:rsid w:val="0031379B"/>
    <w:rsid w:val="00316AC5"/>
    <w:rsid w:val="00323176"/>
    <w:rsid w:val="003358C9"/>
    <w:rsid w:val="00337775"/>
    <w:rsid w:val="0034071A"/>
    <w:rsid w:val="00341115"/>
    <w:rsid w:val="00342511"/>
    <w:rsid w:val="003428F8"/>
    <w:rsid w:val="00344000"/>
    <w:rsid w:val="00344BD8"/>
    <w:rsid w:val="00353069"/>
    <w:rsid w:val="00354889"/>
    <w:rsid w:val="003616C2"/>
    <w:rsid w:val="00366DF0"/>
    <w:rsid w:val="00371B82"/>
    <w:rsid w:val="003725B1"/>
    <w:rsid w:val="0038685D"/>
    <w:rsid w:val="00386CFC"/>
    <w:rsid w:val="00391DDA"/>
    <w:rsid w:val="00393FAB"/>
    <w:rsid w:val="0039772A"/>
    <w:rsid w:val="003A17BB"/>
    <w:rsid w:val="003A369A"/>
    <w:rsid w:val="003A385C"/>
    <w:rsid w:val="003A7C76"/>
    <w:rsid w:val="003B0606"/>
    <w:rsid w:val="003B08EC"/>
    <w:rsid w:val="003B6746"/>
    <w:rsid w:val="003B6B97"/>
    <w:rsid w:val="003C3523"/>
    <w:rsid w:val="003C49AB"/>
    <w:rsid w:val="003C75E0"/>
    <w:rsid w:val="003D010C"/>
    <w:rsid w:val="003D08E7"/>
    <w:rsid w:val="003D716D"/>
    <w:rsid w:val="003E0533"/>
    <w:rsid w:val="003E284D"/>
    <w:rsid w:val="003E32E6"/>
    <w:rsid w:val="003E4AD8"/>
    <w:rsid w:val="003E65D4"/>
    <w:rsid w:val="003F558F"/>
    <w:rsid w:val="003F5BC1"/>
    <w:rsid w:val="003F6F8C"/>
    <w:rsid w:val="00410B1D"/>
    <w:rsid w:val="00413241"/>
    <w:rsid w:val="00420C32"/>
    <w:rsid w:val="0042385F"/>
    <w:rsid w:val="00427958"/>
    <w:rsid w:val="00431232"/>
    <w:rsid w:val="0043162A"/>
    <w:rsid w:val="004343FF"/>
    <w:rsid w:val="00452528"/>
    <w:rsid w:val="004636A1"/>
    <w:rsid w:val="00464DC9"/>
    <w:rsid w:val="00464ED6"/>
    <w:rsid w:val="004677C3"/>
    <w:rsid w:val="0047092A"/>
    <w:rsid w:val="0047102E"/>
    <w:rsid w:val="004726D4"/>
    <w:rsid w:val="00474BA3"/>
    <w:rsid w:val="00475BA4"/>
    <w:rsid w:val="00476FD8"/>
    <w:rsid w:val="00481184"/>
    <w:rsid w:val="004826F8"/>
    <w:rsid w:val="0048386C"/>
    <w:rsid w:val="00484400"/>
    <w:rsid w:val="00486673"/>
    <w:rsid w:val="00490541"/>
    <w:rsid w:val="004927C4"/>
    <w:rsid w:val="004A5876"/>
    <w:rsid w:val="004B20AE"/>
    <w:rsid w:val="004B75DF"/>
    <w:rsid w:val="004C0B3C"/>
    <w:rsid w:val="004C1983"/>
    <w:rsid w:val="004C5D53"/>
    <w:rsid w:val="004C736F"/>
    <w:rsid w:val="004D065D"/>
    <w:rsid w:val="004D0AD5"/>
    <w:rsid w:val="004D6A45"/>
    <w:rsid w:val="004E212C"/>
    <w:rsid w:val="004E4385"/>
    <w:rsid w:val="004E5B1D"/>
    <w:rsid w:val="004F0293"/>
    <w:rsid w:val="004F2280"/>
    <w:rsid w:val="004F260E"/>
    <w:rsid w:val="00507E5F"/>
    <w:rsid w:val="00511DC5"/>
    <w:rsid w:val="0052176E"/>
    <w:rsid w:val="00524C62"/>
    <w:rsid w:val="005264BB"/>
    <w:rsid w:val="00527B74"/>
    <w:rsid w:val="0053018E"/>
    <w:rsid w:val="005347E6"/>
    <w:rsid w:val="00544EB2"/>
    <w:rsid w:val="0055388E"/>
    <w:rsid w:val="00554D20"/>
    <w:rsid w:val="00560D75"/>
    <w:rsid w:val="005670F5"/>
    <w:rsid w:val="00573D13"/>
    <w:rsid w:val="00577225"/>
    <w:rsid w:val="00584B82"/>
    <w:rsid w:val="00584C80"/>
    <w:rsid w:val="005862C4"/>
    <w:rsid w:val="0058666B"/>
    <w:rsid w:val="005A3AC8"/>
    <w:rsid w:val="005B329A"/>
    <w:rsid w:val="005B7A89"/>
    <w:rsid w:val="005C034D"/>
    <w:rsid w:val="005C2134"/>
    <w:rsid w:val="005C2FE7"/>
    <w:rsid w:val="005C460B"/>
    <w:rsid w:val="005C4ACE"/>
    <w:rsid w:val="005D39C3"/>
    <w:rsid w:val="005D5614"/>
    <w:rsid w:val="005D6970"/>
    <w:rsid w:val="005D71F5"/>
    <w:rsid w:val="005D758D"/>
    <w:rsid w:val="005E08D1"/>
    <w:rsid w:val="005F10F7"/>
    <w:rsid w:val="005F1D86"/>
    <w:rsid w:val="005F3631"/>
    <w:rsid w:val="005F6D4B"/>
    <w:rsid w:val="00600C34"/>
    <w:rsid w:val="00611B33"/>
    <w:rsid w:val="00612B13"/>
    <w:rsid w:val="0061585F"/>
    <w:rsid w:val="00620433"/>
    <w:rsid w:val="00632C17"/>
    <w:rsid w:val="006335AC"/>
    <w:rsid w:val="0063673E"/>
    <w:rsid w:val="00641578"/>
    <w:rsid w:val="0064511A"/>
    <w:rsid w:val="00647D31"/>
    <w:rsid w:val="0065702E"/>
    <w:rsid w:val="00657641"/>
    <w:rsid w:val="006610B7"/>
    <w:rsid w:val="006618DB"/>
    <w:rsid w:val="0066352F"/>
    <w:rsid w:val="0066422B"/>
    <w:rsid w:val="006668B6"/>
    <w:rsid w:val="00670B39"/>
    <w:rsid w:val="006723C1"/>
    <w:rsid w:val="00681FDC"/>
    <w:rsid w:val="0068361A"/>
    <w:rsid w:val="00691EA1"/>
    <w:rsid w:val="00692D4F"/>
    <w:rsid w:val="00693E93"/>
    <w:rsid w:val="0069565C"/>
    <w:rsid w:val="0069656D"/>
    <w:rsid w:val="006A2022"/>
    <w:rsid w:val="006A3106"/>
    <w:rsid w:val="006A41CB"/>
    <w:rsid w:val="006A62CA"/>
    <w:rsid w:val="006A6F89"/>
    <w:rsid w:val="006B0645"/>
    <w:rsid w:val="006D7DA2"/>
    <w:rsid w:val="006E2F61"/>
    <w:rsid w:val="006E3652"/>
    <w:rsid w:val="006F7BCE"/>
    <w:rsid w:val="00701E0C"/>
    <w:rsid w:val="00703A61"/>
    <w:rsid w:val="0070549F"/>
    <w:rsid w:val="00706F6A"/>
    <w:rsid w:val="0071707E"/>
    <w:rsid w:val="0072158B"/>
    <w:rsid w:val="00723796"/>
    <w:rsid w:val="00730EC1"/>
    <w:rsid w:val="0073200D"/>
    <w:rsid w:val="00744F6D"/>
    <w:rsid w:val="00745453"/>
    <w:rsid w:val="00746CA2"/>
    <w:rsid w:val="00754FAA"/>
    <w:rsid w:val="0076293B"/>
    <w:rsid w:val="0076639A"/>
    <w:rsid w:val="007709A5"/>
    <w:rsid w:val="00770B1A"/>
    <w:rsid w:val="00772C63"/>
    <w:rsid w:val="00780F00"/>
    <w:rsid w:val="0079090B"/>
    <w:rsid w:val="0079189C"/>
    <w:rsid w:val="00794ED7"/>
    <w:rsid w:val="00795AFF"/>
    <w:rsid w:val="007A23CB"/>
    <w:rsid w:val="007A68B7"/>
    <w:rsid w:val="007B1420"/>
    <w:rsid w:val="007B5250"/>
    <w:rsid w:val="007B6B4C"/>
    <w:rsid w:val="007D3969"/>
    <w:rsid w:val="007E2090"/>
    <w:rsid w:val="007E2381"/>
    <w:rsid w:val="007E7F55"/>
    <w:rsid w:val="007F2854"/>
    <w:rsid w:val="007F4EF3"/>
    <w:rsid w:val="007F696B"/>
    <w:rsid w:val="007F7174"/>
    <w:rsid w:val="00805013"/>
    <w:rsid w:val="0080653B"/>
    <w:rsid w:val="00812EF4"/>
    <w:rsid w:val="00814D83"/>
    <w:rsid w:val="008168A9"/>
    <w:rsid w:val="00822E6B"/>
    <w:rsid w:val="00823B96"/>
    <w:rsid w:val="00823FBC"/>
    <w:rsid w:val="008354E7"/>
    <w:rsid w:val="00840E7A"/>
    <w:rsid w:val="00843077"/>
    <w:rsid w:val="008572CD"/>
    <w:rsid w:val="008735E3"/>
    <w:rsid w:val="008816D0"/>
    <w:rsid w:val="00883B19"/>
    <w:rsid w:val="00883E6F"/>
    <w:rsid w:val="0088600B"/>
    <w:rsid w:val="00891021"/>
    <w:rsid w:val="008945A3"/>
    <w:rsid w:val="008A1D5D"/>
    <w:rsid w:val="008A4F16"/>
    <w:rsid w:val="008B4957"/>
    <w:rsid w:val="008C0552"/>
    <w:rsid w:val="008C0CDE"/>
    <w:rsid w:val="008C27EE"/>
    <w:rsid w:val="008C2BAF"/>
    <w:rsid w:val="008D378B"/>
    <w:rsid w:val="008D521E"/>
    <w:rsid w:val="008E0CE6"/>
    <w:rsid w:val="008E279B"/>
    <w:rsid w:val="008E62BA"/>
    <w:rsid w:val="008F1038"/>
    <w:rsid w:val="008F4BAC"/>
    <w:rsid w:val="00917690"/>
    <w:rsid w:val="00920A86"/>
    <w:rsid w:val="00924507"/>
    <w:rsid w:val="0093280C"/>
    <w:rsid w:val="0093349C"/>
    <w:rsid w:val="00933813"/>
    <w:rsid w:val="009369AB"/>
    <w:rsid w:val="00941AB3"/>
    <w:rsid w:val="009424D4"/>
    <w:rsid w:val="00943678"/>
    <w:rsid w:val="00954BFE"/>
    <w:rsid w:val="00955056"/>
    <w:rsid w:val="00957947"/>
    <w:rsid w:val="009617EB"/>
    <w:rsid w:val="00972EC2"/>
    <w:rsid w:val="00980ABC"/>
    <w:rsid w:val="00984887"/>
    <w:rsid w:val="009A0668"/>
    <w:rsid w:val="009B4352"/>
    <w:rsid w:val="009B4942"/>
    <w:rsid w:val="009B562E"/>
    <w:rsid w:val="009C2103"/>
    <w:rsid w:val="009C225C"/>
    <w:rsid w:val="009C254C"/>
    <w:rsid w:val="009C5191"/>
    <w:rsid w:val="009C7765"/>
    <w:rsid w:val="009D0ABB"/>
    <w:rsid w:val="009D1DC9"/>
    <w:rsid w:val="009D2B22"/>
    <w:rsid w:val="009D3E31"/>
    <w:rsid w:val="009D442E"/>
    <w:rsid w:val="009E780F"/>
    <w:rsid w:val="009F132D"/>
    <w:rsid w:val="009F36B3"/>
    <w:rsid w:val="009F386E"/>
    <w:rsid w:val="009F4A23"/>
    <w:rsid w:val="00A02239"/>
    <w:rsid w:val="00A053D5"/>
    <w:rsid w:val="00A07655"/>
    <w:rsid w:val="00A1267B"/>
    <w:rsid w:val="00A12AE6"/>
    <w:rsid w:val="00A14071"/>
    <w:rsid w:val="00A22257"/>
    <w:rsid w:val="00A26D27"/>
    <w:rsid w:val="00A3022F"/>
    <w:rsid w:val="00A30F79"/>
    <w:rsid w:val="00A31CD6"/>
    <w:rsid w:val="00A325E3"/>
    <w:rsid w:val="00A32965"/>
    <w:rsid w:val="00A33146"/>
    <w:rsid w:val="00A33F4B"/>
    <w:rsid w:val="00A422CB"/>
    <w:rsid w:val="00A441E6"/>
    <w:rsid w:val="00A54A80"/>
    <w:rsid w:val="00A5548F"/>
    <w:rsid w:val="00A60E3D"/>
    <w:rsid w:val="00A64070"/>
    <w:rsid w:val="00A66B7D"/>
    <w:rsid w:val="00A67935"/>
    <w:rsid w:val="00A76DCA"/>
    <w:rsid w:val="00A7795F"/>
    <w:rsid w:val="00A86746"/>
    <w:rsid w:val="00A86A55"/>
    <w:rsid w:val="00A93CBA"/>
    <w:rsid w:val="00A95038"/>
    <w:rsid w:val="00AA0527"/>
    <w:rsid w:val="00AB0AA6"/>
    <w:rsid w:val="00AB269B"/>
    <w:rsid w:val="00AB6E4B"/>
    <w:rsid w:val="00AC26C8"/>
    <w:rsid w:val="00AC417D"/>
    <w:rsid w:val="00AC4240"/>
    <w:rsid w:val="00AC4688"/>
    <w:rsid w:val="00AC756E"/>
    <w:rsid w:val="00AD24F5"/>
    <w:rsid w:val="00AD3817"/>
    <w:rsid w:val="00AD681A"/>
    <w:rsid w:val="00AE4BB8"/>
    <w:rsid w:val="00AE5374"/>
    <w:rsid w:val="00AE5D14"/>
    <w:rsid w:val="00AF15EA"/>
    <w:rsid w:val="00AF1AE1"/>
    <w:rsid w:val="00AF2695"/>
    <w:rsid w:val="00AF43EE"/>
    <w:rsid w:val="00AF4576"/>
    <w:rsid w:val="00B0223A"/>
    <w:rsid w:val="00B0454E"/>
    <w:rsid w:val="00B051CC"/>
    <w:rsid w:val="00B06DA7"/>
    <w:rsid w:val="00B0732D"/>
    <w:rsid w:val="00B144F3"/>
    <w:rsid w:val="00B20024"/>
    <w:rsid w:val="00B22BAC"/>
    <w:rsid w:val="00B31319"/>
    <w:rsid w:val="00B319C7"/>
    <w:rsid w:val="00B352E1"/>
    <w:rsid w:val="00B36660"/>
    <w:rsid w:val="00B42F57"/>
    <w:rsid w:val="00B43553"/>
    <w:rsid w:val="00B53536"/>
    <w:rsid w:val="00B56FA7"/>
    <w:rsid w:val="00B57149"/>
    <w:rsid w:val="00B614EE"/>
    <w:rsid w:val="00B63296"/>
    <w:rsid w:val="00B668BA"/>
    <w:rsid w:val="00B67898"/>
    <w:rsid w:val="00B82AE1"/>
    <w:rsid w:val="00B82EF2"/>
    <w:rsid w:val="00B850E6"/>
    <w:rsid w:val="00B8626D"/>
    <w:rsid w:val="00B87DA1"/>
    <w:rsid w:val="00B90171"/>
    <w:rsid w:val="00B90BAC"/>
    <w:rsid w:val="00BA0A49"/>
    <w:rsid w:val="00BA2C12"/>
    <w:rsid w:val="00BA7A38"/>
    <w:rsid w:val="00BB107D"/>
    <w:rsid w:val="00BB227D"/>
    <w:rsid w:val="00BB7DE5"/>
    <w:rsid w:val="00BC516F"/>
    <w:rsid w:val="00BC51B6"/>
    <w:rsid w:val="00BC7687"/>
    <w:rsid w:val="00BD09C6"/>
    <w:rsid w:val="00BD2240"/>
    <w:rsid w:val="00BD63CA"/>
    <w:rsid w:val="00BD695B"/>
    <w:rsid w:val="00BE338D"/>
    <w:rsid w:val="00BE583E"/>
    <w:rsid w:val="00BE5D73"/>
    <w:rsid w:val="00BE62B0"/>
    <w:rsid w:val="00BE7729"/>
    <w:rsid w:val="00BF1C6D"/>
    <w:rsid w:val="00BF2F28"/>
    <w:rsid w:val="00BF3D44"/>
    <w:rsid w:val="00BF4E76"/>
    <w:rsid w:val="00BF6425"/>
    <w:rsid w:val="00C20B68"/>
    <w:rsid w:val="00C258A0"/>
    <w:rsid w:val="00C26651"/>
    <w:rsid w:val="00C33B8F"/>
    <w:rsid w:val="00C47B5D"/>
    <w:rsid w:val="00C5008E"/>
    <w:rsid w:val="00C53F9F"/>
    <w:rsid w:val="00C55B8F"/>
    <w:rsid w:val="00C57984"/>
    <w:rsid w:val="00C57A17"/>
    <w:rsid w:val="00C57D9C"/>
    <w:rsid w:val="00C63E7D"/>
    <w:rsid w:val="00C66195"/>
    <w:rsid w:val="00C758F9"/>
    <w:rsid w:val="00C802C5"/>
    <w:rsid w:val="00C8186A"/>
    <w:rsid w:val="00C83808"/>
    <w:rsid w:val="00C877C9"/>
    <w:rsid w:val="00C91F2D"/>
    <w:rsid w:val="00C93C82"/>
    <w:rsid w:val="00CB33BA"/>
    <w:rsid w:val="00CB4838"/>
    <w:rsid w:val="00CB4992"/>
    <w:rsid w:val="00CB7FB2"/>
    <w:rsid w:val="00CC33B6"/>
    <w:rsid w:val="00CC50DC"/>
    <w:rsid w:val="00CD1B4E"/>
    <w:rsid w:val="00CD31BA"/>
    <w:rsid w:val="00CD3764"/>
    <w:rsid w:val="00CD7669"/>
    <w:rsid w:val="00CE39B6"/>
    <w:rsid w:val="00CE6BD7"/>
    <w:rsid w:val="00CF13ED"/>
    <w:rsid w:val="00D11ACD"/>
    <w:rsid w:val="00D1373A"/>
    <w:rsid w:val="00D15173"/>
    <w:rsid w:val="00D15209"/>
    <w:rsid w:val="00D16852"/>
    <w:rsid w:val="00D16B3D"/>
    <w:rsid w:val="00D1756B"/>
    <w:rsid w:val="00D22100"/>
    <w:rsid w:val="00D22CE8"/>
    <w:rsid w:val="00D24E93"/>
    <w:rsid w:val="00D31513"/>
    <w:rsid w:val="00D32D61"/>
    <w:rsid w:val="00D3435D"/>
    <w:rsid w:val="00D433C0"/>
    <w:rsid w:val="00D46E7F"/>
    <w:rsid w:val="00D51851"/>
    <w:rsid w:val="00D577DF"/>
    <w:rsid w:val="00D626F3"/>
    <w:rsid w:val="00D62B8D"/>
    <w:rsid w:val="00D66BFA"/>
    <w:rsid w:val="00D731D5"/>
    <w:rsid w:val="00D77E7B"/>
    <w:rsid w:val="00D80AD7"/>
    <w:rsid w:val="00D80C9D"/>
    <w:rsid w:val="00D82EE3"/>
    <w:rsid w:val="00D834AE"/>
    <w:rsid w:val="00D85B04"/>
    <w:rsid w:val="00D87B3F"/>
    <w:rsid w:val="00D97C3A"/>
    <w:rsid w:val="00D97EB1"/>
    <w:rsid w:val="00DB0463"/>
    <w:rsid w:val="00DB2771"/>
    <w:rsid w:val="00DB33F4"/>
    <w:rsid w:val="00DC02F3"/>
    <w:rsid w:val="00DC12D9"/>
    <w:rsid w:val="00DC62AC"/>
    <w:rsid w:val="00DC7514"/>
    <w:rsid w:val="00DC7AB6"/>
    <w:rsid w:val="00DD1100"/>
    <w:rsid w:val="00DE3A10"/>
    <w:rsid w:val="00DF18E2"/>
    <w:rsid w:val="00DF2004"/>
    <w:rsid w:val="00DF20C9"/>
    <w:rsid w:val="00DF4B47"/>
    <w:rsid w:val="00E023FF"/>
    <w:rsid w:val="00E03CDB"/>
    <w:rsid w:val="00E04BC1"/>
    <w:rsid w:val="00E05021"/>
    <w:rsid w:val="00E10D69"/>
    <w:rsid w:val="00E125A9"/>
    <w:rsid w:val="00E13648"/>
    <w:rsid w:val="00E13D52"/>
    <w:rsid w:val="00E14CA2"/>
    <w:rsid w:val="00E171FF"/>
    <w:rsid w:val="00E20C4B"/>
    <w:rsid w:val="00E21716"/>
    <w:rsid w:val="00E21978"/>
    <w:rsid w:val="00E414A5"/>
    <w:rsid w:val="00E417E1"/>
    <w:rsid w:val="00E629A0"/>
    <w:rsid w:val="00E66133"/>
    <w:rsid w:val="00E71CE0"/>
    <w:rsid w:val="00E7522D"/>
    <w:rsid w:val="00E77D20"/>
    <w:rsid w:val="00E86F10"/>
    <w:rsid w:val="00E874E4"/>
    <w:rsid w:val="00E87AEB"/>
    <w:rsid w:val="00E9034A"/>
    <w:rsid w:val="00E919EC"/>
    <w:rsid w:val="00EA3D5D"/>
    <w:rsid w:val="00EB04DA"/>
    <w:rsid w:val="00EB1D49"/>
    <w:rsid w:val="00EB58DD"/>
    <w:rsid w:val="00EB73CD"/>
    <w:rsid w:val="00EB7B65"/>
    <w:rsid w:val="00EC2B89"/>
    <w:rsid w:val="00EC64B3"/>
    <w:rsid w:val="00EC693B"/>
    <w:rsid w:val="00ED0014"/>
    <w:rsid w:val="00ED5F55"/>
    <w:rsid w:val="00EE0281"/>
    <w:rsid w:val="00EF1E96"/>
    <w:rsid w:val="00EF4B63"/>
    <w:rsid w:val="00EF69CA"/>
    <w:rsid w:val="00EF6B17"/>
    <w:rsid w:val="00F121E0"/>
    <w:rsid w:val="00F217BA"/>
    <w:rsid w:val="00F44C10"/>
    <w:rsid w:val="00F56547"/>
    <w:rsid w:val="00F610B6"/>
    <w:rsid w:val="00F75CDB"/>
    <w:rsid w:val="00F8298C"/>
    <w:rsid w:val="00F86168"/>
    <w:rsid w:val="00F8651B"/>
    <w:rsid w:val="00FA26E7"/>
    <w:rsid w:val="00FA3D30"/>
    <w:rsid w:val="00FB2EDC"/>
    <w:rsid w:val="00FB7183"/>
    <w:rsid w:val="00FC043C"/>
    <w:rsid w:val="00FC2582"/>
    <w:rsid w:val="00FC348D"/>
    <w:rsid w:val="00FD1692"/>
    <w:rsid w:val="00FD2AE5"/>
    <w:rsid w:val="00FE327B"/>
    <w:rsid w:val="00FE69C3"/>
    <w:rsid w:val="00FE71DC"/>
    <w:rsid w:val="00FF0045"/>
    <w:rsid w:val="00FF06DD"/>
    <w:rsid w:val="00FF0CBD"/>
    <w:rsid w:val="00FF0D0F"/>
    <w:rsid w:val="00FF748E"/>
    <w:rsid w:val="00FF75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765"/>
    <w:pPr>
      <w:spacing w:line="260" w:lineRule="atLeast"/>
    </w:pPr>
    <w:rPr>
      <w:lang w:eastAsia="en-US"/>
    </w:rPr>
  </w:style>
  <w:style w:type="paragraph" w:styleId="Heading1">
    <w:name w:val="heading 1"/>
    <w:basedOn w:val="Normal"/>
    <w:next w:val="Normal"/>
    <w:link w:val="Heading1Char"/>
    <w:uiPriority w:val="99"/>
    <w:qFormat/>
    <w:rsid w:val="008A4F1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9A0668"/>
    <w:pPr>
      <w:keepNext/>
      <w:spacing w:before="240" w:after="60" w:line="240" w:lineRule="auto"/>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4F16"/>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locked/>
    <w:rsid w:val="009C5191"/>
    <w:rPr>
      <w:rFonts w:ascii="Arial" w:hAnsi="Arial" w:cs="Arial"/>
      <w:b/>
      <w:bCs/>
      <w:sz w:val="26"/>
      <w:szCs w:val="26"/>
    </w:rPr>
  </w:style>
  <w:style w:type="paragraph" w:styleId="BodyText">
    <w:name w:val="Body Text"/>
    <w:basedOn w:val="Normal"/>
    <w:link w:val="BodyTextChar"/>
    <w:rsid w:val="009C7765"/>
    <w:pPr>
      <w:spacing w:after="260"/>
    </w:pPr>
  </w:style>
  <w:style w:type="character" w:customStyle="1" w:styleId="BodyTextChar">
    <w:name w:val="Body Text Char"/>
    <w:basedOn w:val="DefaultParagraphFont"/>
    <w:link w:val="BodyText"/>
    <w:rsid w:val="005B3B2C"/>
    <w:rPr>
      <w:sz w:val="20"/>
      <w:szCs w:val="20"/>
      <w:lang w:eastAsia="en-US"/>
    </w:rPr>
  </w:style>
  <w:style w:type="paragraph" w:customStyle="1" w:styleId="TableText">
    <w:name w:val="Table Text"/>
    <w:basedOn w:val="Normal"/>
    <w:uiPriority w:val="99"/>
    <w:rsid w:val="009C7765"/>
    <w:pPr>
      <w:spacing w:before="120" w:after="170"/>
    </w:pPr>
  </w:style>
  <w:style w:type="paragraph" w:customStyle="1" w:styleId="TableColumnHeader">
    <w:name w:val="Table Column Header"/>
    <w:basedOn w:val="TableText"/>
    <w:uiPriority w:val="99"/>
    <w:rsid w:val="009C7765"/>
    <w:rPr>
      <w:b/>
    </w:rPr>
  </w:style>
  <w:style w:type="paragraph" w:styleId="BodyTextIndent">
    <w:name w:val="Body Text Indent"/>
    <w:basedOn w:val="Normal"/>
    <w:link w:val="BodyTextIndentChar"/>
    <w:uiPriority w:val="99"/>
    <w:rsid w:val="009C7765"/>
    <w:pPr>
      <w:spacing w:after="120"/>
      <w:ind w:left="283"/>
    </w:pPr>
  </w:style>
  <w:style w:type="character" w:customStyle="1" w:styleId="BodyTextIndentChar">
    <w:name w:val="Body Text Indent Char"/>
    <w:basedOn w:val="DefaultParagraphFont"/>
    <w:link w:val="BodyTextIndent"/>
    <w:uiPriority w:val="99"/>
    <w:semiHidden/>
    <w:rsid w:val="005B3B2C"/>
    <w:rPr>
      <w:sz w:val="20"/>
      <w:szCs w:val="20"/>
      <w:lang w:eastAsia="en-US"/>
    </w:rPr>
  </w:style>
  <w:style w:type="paragraph" w:styleId="Footer">
    <w:name w:val="footer"/>
    <w:basedOn w:val="Normal"/>
    <w:link w:val="FooterChar"/>
    <w:uiPriority w:val="99"/>
    <w:rsid w:val="00A86746"/>
    <w:pPr>
      <w:tabs>
        <w:tab w:val="center" w:pos="4153"/>
        <w:tab w:val="right" w:pos="8306"/>
      </w:tabs>
    </w:pPr>
  </w:style>
  <w:style w:type="character" w:customStyle="1" w:styleId="FooterChar">
    <w:name w:val="Footer Char"/>
    <w:basedOn w:val="DefaultParagraphFont"/>
    <w:link w:val="Footer"/>
    <w:uiPriority w:val="99"/>
    <w:rsid w:val="005B3B2C"/>
    <w:rPr>
      <w:sz w:val="20"/>
      <w:szCs w:val="20"/>
      <w:lang w:eastAsia="en-US"/>
    </w:rPr>
  </w:style>
  <w:style w:type="character" w:styleId="PageNumber">
    <w:name w:val="page number"/>
    <w:basedOn w:val="DefaultParagraphFont"/>
    <w:uiPriority w:val="99"/>
    <w:rsid w:val="00A86746"/>
    <w:rPr>
      <w:rFonts w:cs="Times New Roman"/>
    </w:rPr>
  </w:style>
  <w:style w:type="paragraph" w:styleId="Header">
    <w:name w:val="header"/>
    <w:basedOn w:val="Normal"/>
    <w:link w:val="HeaderChar"/>
    <w:uiPriority w:val="99"/>
    <w:rsid w:val="00A86746"/>
    <w:pPr>
      <w:tabs>
        <w:tab w:val="center" w:pos="4320"/>
        <w:tab w:val="right" w:pos="8640"/>
      </w:tabs>
    </w:pPr>
  </w:style>
  <w:style w:type="character" w:customStyle="1" w:styleId="HeaderChar">
    <w:name w:val="Header Char"/>
    <w:basedOn w:val="DefaultParagraphFont"/>
    <w:link w:val="Header"/>
    <w:uiPriority w:val="99"/>
    <w:semiHidden/>
    <w:rsid w:val="005B3B2C"/>
    <w:rPr>
      <w:sz w:val="20"/>
      <w:szCs w:val="20"/>
      <w:lang w:eastAsia="en-US"/>
    </w:rPr>
  </w:style>
  <w:style w:type="paragraph" w:styleId="BodyText3">
    <w:name w:val="Body Text 3"/>
    <w:basedOn w:val="Normal"/>
    <w:link w:val="BodyText3Char"/>
    <w:uiPriority w:val="99"/>
    <w:rsid w:val="008E62BA"/>
    <w:pPr>
      <w:spacing w:line="240" w:lineRule="auto"/>
      <w:jc w:val="both"/>
    </w:pPr>
    <w:rPr>
      <w:rFonts w:ascii="Univers" w:hAnsi="Univers"/>
      <w:sz w:val="24"/>
    </w:rPr>
  </w:style>
  <w:style w:type="character" w:customStyle="1" w:styleId="BodyText3Char">
    <w:name w:val="Body Text 3 Char"/>
    <w:basedOn w:val="DefaultParagraphFont"/>
    <w:link w:val="BodyText3"/>
    <w:uiPriority w:val="99"/>
    <w:semiHidden/>
    <w:rsid w:val="005B3B2C"/>
    <w:rPr>
      <w:sz w:val="16"/>
      <w:szCs w:val="16"/>
      <w:lang w:eastAsia="en-US"/>
    </w:rPr>
  </w:style>
  <w:style w:type="paragraph" w:styleId="BalloonText">
    <w:name w:val="Balloon Text"/>
    <w:basedOn w:val="Normal"/>
    <w:link w:val="BalloonTextChar"/>
    <w:uiPriority w:val="99"/>
    <w:semiHidden/>
    <w:rsid w:val="00814D83"/>
    <w:rPr>
      <w:rFonts w:ascii="Tahoma" w:hAnsi="Tahoma" w:cs="Tahoma"/>
      <w:sz w:val="16"/>
      <w:szCs w:val="16"/>
    </w:rPr>
  </w:style>
  <w:style w:type="character" w:customStyle="1" w:styleId="BalloonTextChar">
    <w:name w:val="Balloon Text Char"/>
    <w:basedOn w:val="DefaultParagraphFont"/>
    <w:link w:val="BalloonText"/>
    <w:uiPriority w:val="99"/>
    <w:semiHidden/>
    <w:rsid w:val="005B3B2C"/>
    <w:rPr>
      <w:sz w:val="0"/>
      <w:szCs w:val="0"/>
      <w:lang w:eastAsia="en-US"/>
    </w:rPr>
  </w:style>
  <w:style w:type="paragraph" w:styleId="TOC1">
    <w:name w:val="toc 1"/>
    <w:basedOn w:val="Normal"/>
    <w:next w:val="Normal"/>
    <w:uiPriority w:val="99"/>
    <w:semiHidden/>
    <w:rsid w:val="003A385C"/>
    <w:pPr>
      <w:spacing w:before="120" w:after="240"/>
    </w:pPr>
  </w:style>
  <w:style w:type="paragraph" w:customStyle="1" w:styleId="Default">
    <w:name w:val="Default"/>
    <w:uiPriority w:val="99"/>
    <w:rsid w:val="00F86168"/>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015CC6"/>
    <w:pPr>
      <w:numPr>
        <w:numId w:val="31"/>
      </w:numPr>
      <w:spacing w:line="240" w:lineRule="auto"/>
      <w:contextualSpacing/>
    </w:pPr>
    <w:rPr>
      <w:rFonts w:ascii="Arial" w:hAnsi="Arial"/>
      <w:sz w:val="24"/>
      <w:szCs w:val="24"/>
      <w:lang w:eastAsia="en-GB"/>
    </w:rPr>
  </w:style>
  <w:style w:type="character" w:customStyle="1" w:styleId="ListParagraphChar">
    <w:name w:val="List Paragraph Char"/>
    <w:basedOn w:val="DefaultParagraphFont"/>
    <w:link w:val="ListParagraph"/>
    <w:uiPriority w:val="99"/>
    <w:locked/>
    <w:rsid w:val="00015CC6"/>
    <w:rPr>
      <w:rFonts w:ascii="Arial" w:hAnsi="Arial" w:cs="Times New Roman"/>
      <w:sz w:val="24"/>
      <w:szCs w:val="24"/>
    </w:rPr>
  </w:style>
  <w:style w:type="character" w:styleId="CommentReference">
    <w:name w:val="annotation reference"/>
    <w:basedOn w:val="DefaultParagraphFont"/>
    <w:uiPriority w:val="99"/>
    <w:semiHidden/>
    <w:rsid w:val="00BF4E76"/>
    <w:rPr>
      <w:rFonts w:cs="Times New Roman"/>
      <w:sz w:val="16"/>
      <w:szCs w:val="16"/>
    </w:rPr>
  </w:style>
  <w:style w:type="paragraph" w:styleId="CommentText">
    <w:name w:val="annotation text"/>
    <w:basedOn w:val="Normal"/>
    <w:link w:val="CommentTextChar"/>
    <w:uiPriority w:val="99"/>
    <w:semiHidden/>
    <w:rsid w:val="00BF4E76"/>
  </w:style>
  <w:style w:type="character" w:customStyle="1" w:styleId="CommentTextChar">
    <w:name w:val="Comment Text Char"/>
    <w:basedOn w:val="DefaultParagraphFont"/>
    <w:link w:val="CommentText"/>
    <w:uiPriority w:val="99"/>
    <w:semiHidden/>
    <w:rsid w:val="005B3B2C"/>
    <w:rPr>
      <w:sz w:val="20"/>
      <w:szCs w:val="20"/>
      <w:lang w:eastAsia="en-US"/>
    </w:rPr>
  </w:style>
  <w:style w:type="paragraph" w:styleId="CommentSubject">
    <w:name w:val="annotation subject"/>
    <w:basedOn w:val="CommentText"/>
    <w:next w:val="CommentText"/>
    <w:link w:val="CommentSubjectChar"/>
    <w:uiPriority w:val="99"/>
    <w:semiHidden/>
    <w:rsid w:val="00BF4E76"/>
    <w:rPr>
      <w:b/>
      <w:bCs/>
    </w:rPr>
  </w:style>
  <w:style w:type="character" w:customStyle="1" w:styleId="CommentSubjectChar">
    <w:name w:val="Comment Subject Char"/>
    <w:basedOn w:val="CommentTextChar"/>
    <w:link w:val="CommentSubject"/>
    <w:uiPriority w:val="99"/>
    <w:semiHidden/>
    <w:rsid w:val="005B3B2C"/>
    <w:rPr>
      <w:b/>
      <w:bCs/>
    </w:rPr>
  </w:style>
</w:styles>
</file>

<file path=word/webSettings.xml><?xml version="1.0" encoding="utf-8"?>
<w:webSettings xmlns:r="http://schemas.openxmlformats.org/officeDocument/2006/relationships" xmlns:w="http://schemas.openxmlformats.org/wordprocessingml/2006/main">
  <w:divs>
    <w:div w:id="1188832143">
      <w:bodyDiv w:val="1"/>
      <w:marLeft w:val="0"/>
      <w:marRight w:val="0"/>
      <w:marTop w:val="0"/>
      <w:marBottom w:val="0"/>
      <w:divBdr>
        <w:top w:val="none" w:sz="0" w:space="0" w:color="auto"/>
        <w:left w:val="none" w:sz="0" w:space="0" w:color="auto"/>
        <w:bottom w:val="none" w:sz="0" w:space="0" w:color="auto"/>
        <w:right w:val="none" w:sz="0" w:space="0" w:color="auto"/>
      </w:divBdr>
    </w:div>
    <w:div w:id="1315598018">
      <w:marLeft w:val="0"/>
      <w:marRight w:val="0"/>
      <w:marTop w:val="0"/>
      <w:marBottom w:val="0"/>
      <w:divBdr>
        <w:top w:val="none" w:sz="0" w:space="0" w:color="auto"/>
        <w:left w:val="none" w:sz="0" w:space="0" w:color="auto"/>
        <w:bottom w:val="none" w:sz="0" w:space="0" w:color="auto"/>
        <w:right w:val="none" w:sz="0" w:space="0" w:color="auto"/>
      </w:divBdr>
    </w:div>
    <w:div w:id="1315598019">
      <w:marLeft w:val="0"/>
      <w:marRight w:val="0"/>
      <w:marTop w:val="0"/>
      <w:marBottom w:val="0"/>
      <w:divBdr>
        <w:top w:val="none" w:sz="0" w:space="0" w:color="auto"/>
        <w:left w:val="none" w:sz="0" w:space="0" w:color="auto"/>
        <w:bottom w:val="none" w:sz="0" w:space="0" w:color="auto"/>
        <w:right w:val="none" w:sz="0" w:space="0" w:color="auto"/>
      </w:divBdr>
    </w:div>
    <w:div w:id="1315598020">
      <w:marLeft w:val="0"/>
      <w:marRight w:val="0"/>
      <w:marTop w:val="0"/>
      <w:marBottom w:val="0"/>
      <w:divBdr>
        <w:top w:val="none" w:sz="0" w:space="0" w:color="auto"/>
        <w:left w:val="none" w:sz="0" w:space="0" w:color="auto"/>
        <w:bottom w:val="none" w:sz="0" w:space="0" w:color="auto"/>
        <w:right w:val="none" w:sz="0" w:space="0" w:color="auto"/>
      </w:divBdr>
    </w:div>
    <w:div w:id="176881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2825</Words>
  <Characters>14985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Annual report - template</vt:lpstr>
    </vt:vector>
  </TitlesOfParts>
  <Company>Lancashire County Council</Company>
  <LinksUpToDate>false</LinksUpToDate>
  <CharactersWithSpaces>17775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 template</dc:title>
  <dc:subject/>
  <dc:creator>Paul Cafferkey</dc:creator>
  <cp:keywords/>
  <dc:description/>
  <cp:lastModifiedBy>User</cp:lastModifiedBy>
  <cp:revision>2</cp:revision>
  <cp:lastPrinted>2014-05-20T12:36:00Z</cp:lastPrinted>
  <dcterms:created xsi:type="dcterms:W3CDTF">2014-05-23T10:11:00Z</dcterms:created>
  <dcterms:modified xsi:type="dcterms:W3CDTF">2014-05-23T10:11:00Z</dcterms:modified>
</cp:coreProperties>
</file>